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8C868" w14:textId="77777777" w:rsidR="001674F7" w:rsidRPr="00EB686D" w:rsidRDefault="001674F7" w:rsidP="00E40449">
      <w:pPr>
        <w:pStyle w:val="Cmsor1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r w:rsidRPr="00EB686D">
        <w:rPr>
          <w:rFonts w:ascii="Times New Roman" w:hAnsi="Times New Roman" w:cs="Times New Roman"/>
          <w:b/>
          <w:i/>
          <w:color w:val="auto"/>
          <w:sz w:val="28"/>
        </w:rPr>
        <w:t xml:space="preserve">Jelentés a könyvtárak helyzetéről és tevékenységéről: </w:t>
      </w:r>
    </w:p>
    <w:p w14:paraId="18474DC4" w14:textId="6752F0B2" w:rsidR="004E511B" w:rsidRPr="00EB686D" w:rsidRDefault="007423E0" w:rsidP="00E40449">
      <w:pPr>
        <w:pStyle w:val="Cmsor1"/>
        <w:jc w:val="center"/>
        <w:rPr>
          <w:rFonts w:ascii="Times New Roman" w:hAnsi="Times New Roman" w:cs="Times New Roman"/>
          <w:b/>
          <w:i/>
          <w:color w:val="auto"/>
          <w:sz w:val="24"/>
        </w:rPr>
      </w:pPr>
      <w:r w:rsidRPr="00EB686D">
        <w:rPr>
          <w:rFonts w:ascii="Times New Roman" w:hAnsi="Times New Roman" w:cs="Times New Roman"/>
          <w:b/>
          <w:i/>
          <w:color w:val="auto"/>
          <w:sz w:val="24"/>
        </w:rPr>
        <w:t>A könyvtári statisztika idősoros a</w:t>
      </w:r>
      <w:r w:rsidR="004E511B" w:rsidRPr="00EB686D">
        <w:rPr>
          <w:rFonts w:ascii="Times New Roman" w:hAnsi="Times New Roman" w:cs="Times New Roman"/>
          <w:b/>
          <w:i/>
          <w:color w:val="auto"/>
          <w:sz w:val="24"/>
        </w:rPr>
        <w:t>datbázis</w:t>
      </w:r>
      <w:r w:rsidR="005D088C" w:rsidRPr="00EB686D">
        <w:rPr>
          <w:rFonts w:ascii="Times New Roman" w:hAnsi="Times New Roman" w:cs="Times New Roman"/>
          <w:b/>
          <w:i/>
          <w:color w:val="auto"/>
          <w:sz w:val="24"/>
        </w:rPr>
        <w:t>ának</w:t>
      </w:r>
      <w:r w:rsidR="004E511B" w:rsidRPr="00EB686D">
        <w:rPr>
          <w:rFonts w:ascii="Times New Roman" w:hAnsi="Times New Roman" w:cs="Times New Roman"/>
          <w:b/>
          <w:i/>
          <w:color w:val="auto"/>
          <w:sz w:val="24"/>
        </w:rPr>
        <w:t xml:space="preserve"> leírás</w:t>
      </w:r>
      <w:r w:rsidR="005D088C" w:rsidRPr="00EB686D">
        <w:rPr>
          <w:rFonts w:ascii="Times New Roman" w:hAnsi="Times New Roman" w:cs="Times New Roman"/>
          <w:b/>
          <w:i/>
          <w:color w:val="auto"/>
          <w:sz w:val="24"/>
        </w:rPr>
        <w:t>a</w:t>
      </w:r>
    </w:p>
    <w:p w14:paraId="5E350C4A" w14:textId="77777777" w:rsidR="004E511B" w:rsidRPr="001A5F20" w:rsidRDefault="004E511B" w:rsidP="00C44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E4F8A" w14:textId="349C91A8" w:rsidR="00414A0C" w:rsidRDefault="001A5221" w:rsidP="001A5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5FC" w:rsidRPr="001A5F20">
        <w:rPr>
          <w:rFonts w:ascii="Times New Roman" w:hAnsi="Times New Roman" w:cs="Times New Roman"/>
          <w:sz w:val="24"/>
          <w:szCs w:val="24"/>
        </w:rPr>
        <w:t xml:space="preserve">A </w:t>
      </w:r>
      <w:r w:rsidR="00C445FC" w:rsidRPr="001A5F20">
        <w:rPr>
          <w:rFonts w:ascii="Times New Roman" w:hAnsi="Times New Roman" w:cs="Times New Roman"/>
          <w:i/>
          <w:sz w:val="24"/>
          <w:szCs w:val="24"/>
        </w:rPr>
        <w:t>„Jelentés a könyvtárak helyzetéről és tevékenységéről”</w:t>
      </w:r>
      <w:r w:rsidR="005D088C" w:rsidRPr="001A5F20">
        <w:rPr>
          <w:rFonts w:ascii="Times New Roman" w:hAnsi="Times New Roman" w:cs="Times New Roman"/>
          <w:sz w:val="24"/>
          <w:szCs w:val="24"/>
        </w:rPr>
        <w:t xml:space="preserve"> – továbbiakban </w:t>
      </w:r>
      <w:r w:rsidR="00C445FC" w:rsidRPr="001A5F20">
        <w:rPr>
          <w:rFonts w:ascii="Times New Roman" w:hAnsi="Times New Roman" w:cs="Times New Roman"/>
          <w:sz w:val="24"/>
          <w:szCs w:val="24"/>
        </w:rPr>
        <w:t>OSAP 1442</w:t>
      </w:r>
      <w:r w:rsidR="005D088C" w:rsidRPr="001A5F20">
        <w:rPr>
          <w:rFonts w:ascii="Times New Roman" w:hAnsi="Times New Roman" w:cs="Times New Roman"/>
          <w:sz w:val="24"/>
          <w:szCs w:val="24"/>
        </w:rPr>
        <w:t xml:space="preserve"> –</w:t>
      </w:r>
      <w:r w:rsidR="00C445FC" w:rsidRPr="001A5F20">
        <w:rPr>
          <w:rFonts w:ascii="Times New Roman" w:hAnsi="Times New Roman" w:cs="Times New Roman"/>
          <w:sz w:val="24"/>
          <w:szCs w:val="24"/>
        </w:rPr>
        <w:t xml:space="preserve"> évenkénti statisztikai adatgyűjtés az Országos Statisztikai Adatfelvételi Program részeként, a hivatalos statisztikáról szóló 2016. évi CLV. törvény 26. §. (1), és 29. §. (1) bekezdésen alapuló kötelező adatgyűjtés. </w:t>
      </w:r>
      <w:r w:rsidR="00762431">
        <w:rPr>
          <w:rFonts w:ascii="Times New Roman" w:hAnsi="Times New Roman" w:cs="Times New Roman"/>
          <w:sz w:val="24"/>
          <w:szCs w:val="24"/>
        </w:rPr>
        <w:t>E</w:t>
      </w:r>
      <w:r w:rsidR="001403FC">
        <w:rPr>
          <w:rFonts w:ascii="Times New Roman" w:hAnsi="Times New Roman" w:cs="Times New Roman"/>
          <w:sz w:val="24"/>
          <w:szCs w:val="24"/>
        </w:rPr>
        <w:t xml:space="preserve"> </w:t>
      </w:r>
      <w:r w:rsidR="001403FC" w:rsidRPr="001A5F20">
        <w:rPr>
          <w:rFonts w:ascii="Times New Roman" w:hAnsi="Times New Roman" w:cs="Times New Roman"/>
          <w:sz w:val="24"/>
          <w:szCs w:val="24"/>
        </w:rPr>
        <w:t>kormányrendelet értelmében az országos könyvtárstatisztikai adatgyűjtésben való részvétel jelenleg minden könyvtár, könyvtári tevékenységet (is) végző intézmény, szervezet számára kötelező.</w:t>
      </w:r>
      <w:r w:rsidR="001403FC">
        <w:rPr>
          <w:rFonts w:ascii="Times New Roman" w:hAnsi="Times New Roman" w:cs="Times New Roman"/>
          <w:sz w:val="24"/>
          <w:szCs w:val="24"/>
        </w:rPr>
        <w:t xml:space="preserve"> </w:t>
      </w:r>
      <w:r w:rsidR="003722D2">
        <w:rPr>
          <w:rFonts w:ascii="Times New Roman" w:hAnsi="Times New Roman" w:cs="Times New Roman"/>
          <w:sz w:val="24"/>
          <w:szCs w:val="24"/>
        </w:rPr>
        <w:t>Ennek értelmében a</w:t>
      </w:r>
      <w:r w:rsidR="001403FC" w:rsidRPr="001A5F20">
        <w:rPr>
          <w:rFonts w:ascii="Times New Roman" w:hAnsi="Times New Roman" w:cs="Times New Roman"/>
          <w:sz w:val="24"/>
          <w:szCs w:val="24"/>
        </w:rPr>
        <w:t>z adatszolgáltatók körét a nemzeti könyvtár, a települési könyvtárak, valamint a szakkönyvtárak jelentik.</w:t>
      </w:r>
      <w:r w:rsidR="001403FC" w:rsidRPr="001A5F20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1403FC" w:rsidRPr="001A5F20">
        <w:rPr>
          <w:rFonts w:ascii="Times New Roman" w:hAnsi="Times New Roman" w:cs="Times New Roman"/>
          <w:sz w:val="24"/>
          <w:szCs w:val="24"/>
        </w:rPr>
        <w:t xml:space="preserve"> Az országos könyvtárstatisztika adatszolgáltatói tehát </w:t>
      </w:r>
      <w:r w:rsidR="0002174D">
        <w:rPr>
          <w:rFonts w:ascii="Times New Roman" w:hAnsi="Times New Roman" w:cs="Times New Roman"/>
          <w:sz w:val="24"/>
          <w:szCs w:val="24"/>
        </w:rPr>
        <w:t>a</w:t>
      </w:r>
      <w:r w:rsidR="001403FC">
        <w:rPr>
          <w:rFonts w:ascii="Times New Roman" w:hAnsi="Times New Roman" w:cs="Times New Roman"/>
          <w:sz w:val="24"/>
          <w:szCs w:val="24"/>
        </w:rPr>
        <w:t xml:space="preserve"> megnevezett könyvtári típusba tartozó </w:t>
      </w:r>
      <w:r w:rsidR="002D353E">
        <w:rPr>
          <w:rFonts w:ascii="Times New Roman" w:hAnsi="Times New Roman" w:cs="Times New Roman"/>
          <w:sz w:val="24"/>
          <w:szCs w:val="24"/>
        </w:rPr>
        <w:t>intézmények és szervezetek</w:t>
      </w:r>
      <w:r w:rsidR="001403FC" w:rsidRPr="001A5F20">
        <w:rPr>
          <w:rFonts w:ascii="Times New Roman" w:hAnsi="Times New Roman" w:cs="Times New Roman"/>
          <w:sz w:val="24"/>
          <w:szCs w:val="24"/>
        </w:rPr>
        <w:t>,</w:t>
      </w:r>
      <w:r w:rsidR="001403FC">
        <w:rPr>
          <w:rFonts w:ascii="Times New Roman" w:hAnsi="Times New Roman" w:cs="Times New Roman"/>
          <w:sz w:val="24"/>
          <w:szCs w:val="24"/>
        </w:rPr>
        <w:t xml:space="preserve"> </w:t>
      </w:r>
      <w:r w:rsidR="001403FC" w:rsidRPr="001A5F20">
        <w:rPr>
          <w:rFonts w:ascii="Times New Roman" w:hAnsi="Times New Roman" w:cs="Times New Roman"/>
          <w:sz w:val="24"/>
          <w:szCs w:val="24"/>
        </w:rPr>
        <w:t>megfigyelési egysége pedig a telephely</w:t>
      </w:r>
      <w:r w:rsidR="001403FC">
        <w:rPr>
          <w:rFonts w:ascii="Times New Roman" w:hAnsi="Times New Roman" w:cs="Times New Roman"/>
          <w:sz w:val="24"/>
          <w:szCs w:val="24"/>
        </w:rPr>
        <w:t>ek</w:t>
      </w:r>
      <w:r w:rsidR="001403FC" w:rsidRPr="001A5F20">
        <w:rPr>
          <w:rFonts w:ascii="Times New Roman" w:hAnsi="Times New Roman" w:cs="Times New Roman"/>
          <w:sz w:val="24"/>
          <w:szCs w:val="24"/>
        </w:rPr>
        <w:t>, illetve szolgáltatási pont</w:t>
      </w:r>
      <w:r w:rsidR="001403FC">
        <w:rPr>
          <w:rFonts w:ascii="Times New Roman" w:hAnsi="Times New Roman" w:cs="Times New Roman"/>
          <w:sz w:val="24"/>
          <w:szCs w:val="24"/>
        </w:rPr>
        <w:t>ok.</w:t>
      </w:r>
      <w:r w:rsidR="00414A0C">
        <w:rPr>
          <w:rFonts w:ascii="Times New Roman" w:hAnsi="Times New Roman" w:cs="Times New Roman"/>
          <w:sz w:val="24"/>
          <w:szCs w:val="24"/>
        </w:rPr>
        <w:t xml:space="preserve"> </w:t>
      </w:r>
      <w:r w:rsidR="00FA5F98">
        <w:rPr>
          <w:rFonts w:ascii="Times New Roman" w:hAnsi="Times New Roman" w:cs="Times New Roman"/>
          <w:sz w:val="24"/>
          <w:szCs w:val="24"/>
        </w:rPr>
        <w:t>A</w:t>
      </w:r>
      <w:r w:rsidR="00B16BAB">
        <w:rPr>
          <w:rFonts w:ascii="Times New Roman" w:hAnsi="Times New Roman" w:cs="Times New Roman"/>
          <w:sz w:val="24"/>
          <w:szCs w:val="24"/>
        </w:rPr>
        <w:t>z</w:t>
      </w:r>
      <w:r w:rsidR="00FA5F98">
        <w:rPr>
          <w:rFonts w:ascii="Times New Roman" w:hAnsi="Times New Roman" w:cs="Times New Roman"/>
          <w:sz w:val="24"/>
          <w:szCs w:val="24"/>
        </w:rPr>
        <w:t xml:space="preserve"> adatgyűjtés</w:t>
      </w:r>
      <w:r w:rsidR="00414A0C" w:rsidRPr="00414A0C">
        <w:rPr>
          <w:rFonts w:ascii="Times New Roman" w:hAnsi="Times New Roman" w:cs="Times New Roman"/>
          <w:sz w:val="24"/>
          <w:szCs w:val="24"/>
        </w:rPr>
        <w:t xml:space="preserve"> kötelező adatkörei a következő témakörök</w:t>
      </w:r>
      <w:r w:rsidR="00446DDE">
        <w:rPr>
          <w:rFonts w:ascii="Times New Roman" w:hAnsi="Times New Roman" w:cs="Times New Roman"/>
          <w:sz w:val="24"/>
          <w:szCs w:val="24"/>
        </w:rPr>
        <w:t>re</w:t>
      </w:r>
      <w:r w:rsidR="00414A0C" w:rsidRPr="00414A0C">
        <w:rPr>
          <w:rFonts w:ascii="Times New Roman" w:hAnsi="Times New Roman" w:cs="Times New Roman"/>
          <w:sz w:val="24"/>
          <w:szCs w:val="24"/>
        </w:rPr>
        <w:t xml:space="preserve"> </w:t>
      </w:r>
      <w:r w:rsidR="004378B5">
        <w:rPr>
          <w:rFonts w:ascii="Times New Roman" w:hAnsi="Times New Roman" w:cs="Times New Roman"/>
          <w:sz w:val="24"/>
          <w:szCs w:val="24"/>
        </w:rPr>
        <w:t>terjednek ki</w:t>
      </w:r>
      <w:r w:rsidR="00414A0C" w:rsidRPr="00414A0C">
        <w:rPr>
          <w:rFonts w:ascii="Times New Roman" w:hAnsi="Times New Roman" w:cs="Times New Roman"/>
          <w:sz w:val="24"/>
          <w:szCs w:val="24"/>
        </w:rPr>
        <w:t>:</w:t>
      </w:r>
    </w:p>
    <w:p w14:paraId="060562B2" w14:textId="77777777" w:rsidR="00871361" w:rsidRPr="00414A0C" w:rsidRDefault="00871361" w:rsidP="00414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E4935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A könyvtári szolgáltatási pontok adatai</w:t>
      </w:r>
    </w:p>
    <w:p w14:paraId="362B5B8F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A könyvtári szolgáltatási pontok által nyújtott szolgáltatások</w:t>
      </w:r>
    </w:p>
    <w:p w14:paraId="3864469B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Könyvtári programok és képzések</w:t>
      </w:r>
    </w:p>
    <w:p w14:paraId="79F570FC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Informatikai ellátottság és szolgáltatások</w:t>
      </w:r>
    </w:p>
    <w:p w14:paraId="57FC7B17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Állományadatok és kurrens folyóiratok</w:t>
      </w:r>
    </w:p>
    <w:p w14:paraId="0C0B11D4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 xml:space="preserve">Digitalizált dokumentumok, </w:t>
      </w:r>
      <w:proofErr w:type="spellStart"/>
      <w:r w:rsidRPr="00413B3C">
        <w:rPr>
          <w:rFonts w:ascii="Times New Roman" w:hAnsi="Times New Roman" w:cs="Times New Roman"/>
          <w:sz w:val="24"/>
          <w:szCs w:val="24"/>
        </w:rPr>
        <w:t>repozitoriumok</w:t>
      </w:r>
      <w:proofErr w:type="spellEnd"/>
      <w:r w:rsidRPr="00413B3C">
        <w:rPr>
          <w:rFonts w:ascii="Times New Roman" w:hAnsi="Times New Roman" w:cs="Times New Roman"/>
          <w:sz w:val="24"/>
          <w:szCs w:val="24"/>
        </w:rPr>
        <w:t xml:space="preserve"> és elektronikus dokumentumszolgáltatások</w:t>
      </w:r>
    </w:p>
    <w:p w14:paraId="1FB797C8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Feldolgozási tevékenységek</w:t>
      </w:r>
    </w:p>
    <w:p w14:paraId="61469C1C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Állományvédelem</w:t>
      </w:r>
    </w:p>
    <w:p w14:paraId="6CDFD0CF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Könyvtárhasználat és könyvtárközi kölcsönzés</w:t>
      </w:r>
    </w:p>
    <w:p w14:paraId="615A91F4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Kutatástámogatás és kutatási tevékenység</w:t>
      </w:r>
    </w:p>
    <w:p w14:paraId="6A9E281D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Munkaügyi létszámadatok</w:t>
      </w:r>
    </w:p>
    <w:p w14:paraId="5075BEA5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Pénzügyi adatok</w:t>
      </w:r>
    </w:p>
    <w:p w14:paraId="501F9F2D" w14:textId="77777777" w:rsidR="00414A0C" w:rsidRPr="00413B3C" w:rsidRDefault="00414A0C" w:rsidP="00414A0C">
      <w:pPr>
        <w:pStyle w:val="Listaszerbekezds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B3C">
        <w:rPr>
          <w:rFonts w:ascii="Times New Roman" w:hAnsi="Times New Roman" w:cs="Times New Roman"/>
          <w:sz w:val="24"/>
          <w:szCs w:val="24"/>
        </w:rPr>
        <w:t>A könyvtári szolgáltatási pontok akadálymentessége</w:t>
      </w:r>
    </w:p>
    <w:p w14:paraId="22EE3E04" w14:textId="77777777" w:rsidR="00871361" w:rsidRDefault="00871361" w:rsidP="00414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9901B" w14:textId="16630E13" w:rsidR="00531A2B" w:rsidRDefault="00C445FC" w:rsidP="00985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20">
        <w:rPr>
          <w:rFonts w:ascii="Times New Roman" w:hAnsi="Times New Roman" w:cs="Times New Roman"/>
          <w:sz w:val="24"/>
          <w:szCs w:val="24"/>
        </w:rPr>
        <w:t>A nyers adatok begyűjtése elektronikusan, a Kulturális Statisztikai Rendszerben valósul meg</w:t>
      </w:r>
      <w:r w:rsidR="00C002DD">
        <w:rPr>
          <w:rFonts w:ascii="Times New Roman" w:hAnsi="Times New Roman" w:cs="Times New Roman"/>
          <w:sz w:val="24"/>
          <w:szCs w:val="24"/>
        </w:rPr>
        <w:t>,</w:t>
      </w:r>
      <w:r w:rsidRPr="001A5F20">
        <w:rPr>
          <w:rFonts w:ascii="Times New Roman" w:hAnsi="Times New Roman" w:cs="Times New Roman"/>
          <w:sz w:val="24"/>
          <w:szCs w:val="24"/>
        </w:rPr>
        <w:t xml:space="preserve"> a</w:t>
      </w:r>
      <w:r w:rsidR="00050F1E">
        <w:rPr>
          <w:rFonts w:ascii="Times New Roman" w:hAnsi="Times New Roman" w:cs="Times New Roman"/>
          <w:sz w:val="24"/>
          <w:szCs w:val="24"/>
        </w:rPr>
        <w:t xml:space="preserve"> tárgyévet követő március </w:t>
      </w:r>
      <w:r w:rsidR="004F1A42">
        <w:rPr>
          <w:rFonts w:ascii="Times New Roman" w:hAnsi="Times New Roman" w:cs="Times New Roman"/>
          <w:sz w:val="24"/>
          <w:szCs w:val="24"/>
        </w:rPr>
        <w:t>15-ig. A nyers adatokból</w:t>
      </w:r>
      <w:r w:rsidRPr="001A5F20">
        <w:rPr>
          <w:rFonts w:ascii="Times New Roman" w:hAnsi="Times New Roman" w:cs="Times New Roman"/>
          <w:sz w:val="24"/>
          <w:szCs w:val="24"/>
        </w:rPr>
        <w:t xml:space="preserve"> az Országos Széchényi Könyvtár keretei között működő Könyvtári Intézet</w:t>
      </w:r>
      <w:r w:rsidR="007909A3">
        <w:rPr>
          <w:rFonts w:ascii="Times New Roman" w:hAnsi="Times New Roman" w:cs="Times New Roman"/>
          <w:sz w:val="24"/>
          <w:szCs w:val="24"/>
        </w:rPr>
        <w:t>,</w:t>
      </w:r>
      <w:r w:rsidR="001766A2" w:rsidRPr="001A5F20">
        <w:rPr>
          <w:rFonts w:ascii="Times New Roman" w:hAnsi="Times New Roman" w:cs="Times New Roman"/>
          <w:sz w:val="24"/>
          <w:szCs w:val="24"/>
        </w:rPr>
        <w:t xml:space="preserve"> Kutatási és Elemző Osztálya</w:t>
      </w:r>
      <w:r w:rsidRPr="001A5F20">
        <w:rPr>
          <w:rFonts w:ascii="Times New Roman" w:hAnsi="Times New Roman" w:cs="Times New Roman"/>
          <w:sz w:val="24"/>
          <w:szCs w:val="24"/>
        </w:rPr>
        <w:t xml:space="preserve"> állítja elő a hivatalos közlés </w:t>
      </w:r>
      <w:r w:rsidRPr="001A5F20">
        <w:rPr>
          <w:rFonts w:ascii="Times New Roman" w:hAnsi="Times New Roman" w:cs="Times New Roman"/>
          <w:sz w:val="24"/>
          <w:szCs w:val="24"/>
        </w:rPr>
        <w:lastRenderedPageBreak/>
        <w:t>alapjául szolgáló végleges</w:t>
      </w:r>
      <w:r w:rsidR="007909A3">
        <w:rPr>
          <w:rFonts w:ascii="Times New Roman" w:hAnsi="Times New Roman" w:cs="Times New Roman"/>
          <w:sz w:val="24"/>
          <w:szCs w:val="24"/>
        </w:rPr>
        <w:t>, de nem javított</w:t>
      </w:r>
      <w:r w:rsidRPr="001A5F20">
        <w:rPr>
          <w:rFonts w:ascii="Times New Roman" w:hAnsi="Times New Roman" w:cs="Times New Roman"/>
          <w:sz w:val="24"/>
          <w:szCs w:val="24"/>
        </w:rPr>
        <w:t xml:space="preserve"> statisztikai adat</w:t>
      </w:r>
      <w:r w:rsidR="009F1699">
        <w:rPr>
          <w:rFonts w:ascii="Times New Roman" w:hAnsi="Times New Roman" w:cs="Times New Roman"/>
          <w:sz w:val="24"/>
          <w:szCs w:val="24"/>
        </w:rPr>
        <w:t>sort</w:t>
      </w:r>
      <w:r w:rsidR="00FC6312">
        <w:rPr>
          <w:rFonts w:ascii="Times New Roman" w:hAnsi="Times New Roman" w:cs="Times New Roman"/>
          <w:sz w:val="24"/>
          <w:szCs w:val="24"/>
        </w:rPr>
        <w:t xml:space="preserve">. </w:t>
      </w:r>
      <w:r w:rsidR="00DA32BC">
        <w:rPr>
          <w:rFonts w:ascii="Times New Roman" w:hAnsi="Times New Roman" w:cs="Times New Roman"/>
          <w:sz w:val="24"/>
          <w:szCs w:val="24"/>
        </w:rPr>
        <w:t>Jelen</w:t>
      </w:r>
      <w:r w:rsidR="0025388F">
        <w:rPr>
          <w:rFonts w:ascii="Times New Roman" w:hAnsi="Times New Roman" w:cs="Times New Roman"/>
          <w:sz w:val="24"/>
          <w:szCs w:val="24"/>
        </w:rPr>
        <w:t xml:space="preserve"> </w:t>
      </w:r>
      <w:r w:rsidR="00683D27">
        <w:rPr>
          <w:rFonts w:ascii="Times New Roman" w:hAnsi="Times New Roman" w:cs="Times New Roman"/>
          <w:sz w:val="24"/>
          <w:szCs w:val="24"/>
        </w:rPr>
        <w:t>retrospektív</w:t>
      </w:r>
      <w:r w:rsidR="009F1699">
        <w:rPr>
          <w:rFonts w:ascii="Times New Roman" w:hAnsi="Times New Roman" w:cs="Times New Roman"/>
          <w:sz w:val="24"/>
          <w:szCs w:val="24"/>
        </w:rPr>
        <w:t xml:space="preserve"> adatbázis</w:t>
      </w:r>
      <w:r w:rsidR="00FC6312">
        <w:rPr>
          <w:rFonts w:ascii="Times New Roman" w:hAnsi="Times New Roman" w:cs="Times New Roman"/>
          <w:sz w:val="24"/>
          <w:szCs w:val="24"/>
        </w:rPr>
        <w:t>t</w:t>
      </w:r>
      <w:r w:rsidR="00ED401C">
        <w:rPr>
          <w:rFonts w:ascii="Times New Roman" w:hAnsi="Times New Roman" w:cs="Times New Roman"/>
          <w:sz w:val="24"/>
          <w:szCs w:val="24"/>
        </w:rPr>
        <w:t>,</w:t>
      </w:r>
      <w:r w:rsidR="009F1699">
        <w:rPr>
          <w:rFonts w:ascii="Times New Roman" w:hAnsi="Times New Roman" w:cs="Times New Roman"/>
          <w:sz w:val="24"/>
          <w:szCs w:val="24"/>
        </w:rPr>
        <w:t xml:space="preserve"> eme keresztmetszeti adatsorok</w:t>
      </w:r>
      <w:r w:rsidR="00FC6312">
        <w:rPr>
          <w:rFonts w:ascii="Times New Roman" w:hAnsi="Times New Roman" w:cs="Times New Roman"/>
          <w:sz w:val="24"/>
          <w:szCs w:val="24"/>
        </w:rPr>
        <w:t>,</w:t>
      </w:r>
      <w:r w:rsidR="009F1699">
        <w:rPr>
          <w:rFonts w:ascii="Times New Roman" w:hAnsi="Times New Roman" w:cs="Times New Roman"/>
          <w:sz w:val="24"/>
          <w:szCs w:val="24"/>
        </w:rPr>
        <w:t xml:space="preserve"> Kult</w:t>
      </w:r>
      <w:r w:rsidR="00684392">
        <w:rPr>
          <w:rFonts w:ascii="Times New Roman" w:hAnsi="Times New Roman" w:cs="Times New Roman"/>
          <w:sz w:val="24"/>
          <w:szCs w:val="24"/>
        </w:rPr>
        <w:t xml:space="preserve">urális </w:t>
      </w:r>
      <w:r w:rsidR="00FC6312">
        <w:rPr>
          <w:rFonts w:ascii="Times New Roman" w:hAnsi="Times New Roman" w:cs="Times New Roman"/>
          <w:sz w:val="24"/>
          <w:szCs w:val="24"/>
        </w:rPr>
        <w:t>Stat</w:t>
      </w:r>
      <w:r w:rsidR="00545920">
        <w:rPr>
          <w:rFonts w:ascii="Times New Roman" w:hAnsi="Times New Roman" w:cs="Times New Roman"/>
          <w:sz w:val="24"/>
          <w:szCs w:val="24"/>
        </w:rPr>
        <w:t>isztikai Re</w:t>
      </w:r>
      <w:r w:rsidR="00684392">
        <w:rPr>
          <w:rFonts w:ascii="Times New Roman" w:hAnsi="Times New Roman" w:cs="Times New Roman"/>
          <w:sz w:val="24"/>
          <w:szCs w:val="24"/>
        </w:rPr>
        <w:t>ndszerből</w:t>
      </w:r>
      <w:r w:rsidR="00FC6312">
        <w:rPr>
          <w:rFonts w:ascii="Times New Roman" w:hAnsi="Times New Roman" w:cs="Times New Roman"/>
          <w:sz w:val="24"/>
          <w:szCs w:val="24"/>
        </w:rPr>
        <w:t xml:space="preserve"> exportált </w:t>
      </w:r>
      <w:r w:rsidR="00683D27">
        <w:rPr>
          <w:rFonts w:ascii="Times New Roman" w:hAnsi="Times New Roman" w:cs="Times New Roman"/>
          <w:sz w:val="24"/>
          <w:szCs w:val="24"/>
        </w:rPr>
        <w:t>adat</w:t>
      </w:r>
      <w:r w:rsidR="00ED401C">
        <w:rPr>
          <w:rFonts w:ascii="Times New Roman" w:hAnsi="Times New Roman" w:cs="Times New Roman"/>
          <w:sz w:val="24"/>
          <w:szCs w:val="24"/>
        </w:rPr>
        <w:t>tábláinak</w:t>
      </w:r>
      <w:r w:rsidR="009F1699">
        <w:rPr>
          <w:rFonts w:ascii="Times New Roman" w:hAnsi="Times New Roman" w:cs="Times New Roman"/>
          <w:sz w:val="24"/>
          <w:szCs w:val="24"/>
        </w:rPr>
        <w:t xml:space="preserve"> összekapcsolása révén </w:t>
      </w:r>
      <w:r w:rsidR="00FC6312">
        <w:rPr>
          <w:rFonts w:ascii="Times New Roman" w:hAnsi="Times New Roman" w:cs="Times New Roman"/>
          <w:sz w:val="24"/>
          <w:szCs w:val="24"/>
        </w:rPr>
        <w:t>hoztuk létre</w:t>
      </w:r>
      <w:r w:rsidR="009F1699">
        <w:rPr>
          <w:rFonts w:ascii="Times New Roman" w:hAnsi="Times New Roman" w:cs="Times New Roman"/>
          <w:sz w:val="24"/>
          <w:szCs w:val="24"/>
        </w:rPr>
        <w:t>.</w:t>
      </w:r>
      <w:r w:rsidR="00FC6312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9F1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F664C" w14:textId="444E66E8" w:rsidR="009859C5" w:rsidRDefault="00B971E1" w:rsidP="00FB16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76E3B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folyamat azonban nem volt </w:t>
      </w:r>
      <w:r w:rsidR="00F5718C">
        <w:rPr>
          <w:rFonts w:ascii="Times New Roman" w:hAnsi="Times New Roman" w:cs="Times New Roman"/>
          <w:sz w:val="24"/>
          <w:szCs w:val="24"/>
        </w:rPr>
        <w:t>akadálymentes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59C5">
        <w:rPr>
          <w:rFonts w:ascii="Times New Roman" w:hAnsi="Times New Roman" w:cs="Times New Roman"/>
          <w:sz w:val="24"/>
          <w:szCs w:val="24"/>
        </w:rPr>
        <w:t>A korábbi években a</w:t>
      </w:r>
      <w:r w:rsidR="00B95EA2">
        <w:rPr>
          <w:rFonts w:ascii="Times New Roman" w:hAnsi="Times New Roman" w:cs="Times New Roman"/>
          <w:sz w:val="24"/>
          <w:szCs w:val="24"/>
        </w:rPr>
        <w:t xml:space="preserve"> Kulturális Statisztikai Rendszerből exportált, majd a</w:t>
      </w:r>
      <w:r w:rsidR="009859C5">
        <w:rPr>
          <w:rFonts w:ascii="Times New Roman" w:hAnsi="Times New Roman" w:cs="Times New Roman"/>
          <w:sz w:val="24"/>
          <w:szCs w:val="24"/>
        </w:rPr>
        <w:t xml:space="preserve"> Könyvtári Intézet honlapján publikált keresztmetszeti adattáblák</w:t>
      </w:r>
      <w:r w:rsidR="002171FB">
        <w:rPr>
          <w:rFonts w:ascii="Times New Roman" w:hAnsi="Times New Roman" w:cs="Times New Roman"/>
          <w:sz w:val="24"/>
          <w:szCs w:val="24"/>
        </w:rPr>
        <w:t>ban szereplő változók nevei</w:t>
      </w:r>
      <w:r w:rsidR="009859C5">
        <w:rPr>
          <w:rFonts w:ascii="Times New Roman" w:hAnsi="Times New Roman" w:cs="Times New Roman"/>
          <w:sz w:val="24"/>
          <w:szCs w:val="24"/>
        </w:rPr>
        <w:t xml:space="preserve"> arra utaltak, hogy egy bizonyos témakörre vonatkozó kérdés az adatlap hányadik</w:t>
      </w:r>
      <w:r w:rsidR="00F5718C">
        <w:rPr>
          <w:rFonts w:ascii="Times New Roman" w:hAnsi="Times New Roman" w:cs="Times New Roman"/>
          <w:sz w:val="24"/>
          <w:szCs w:val="24"/>
        </w:rPr>
        <w:t xml:space="preserve"> táblázatából</w:t>
      </w:r>
      <w:r w:rsidR="009859C5">
        <w:rPr>
          <w:rFonts w:ascii="Times New Roman" w:hAnsi="Times New Roman" w:cs="Times New Roman"/>
          <w:sz w:val="24"/>
          <w:szCs w:val="24"/>
        </w:rPr>
        <w:t xml:space="preserve">, </w:t>
      </w:r>
      <w:r w:rsidR="00F5718C">
        <w:rPr>
          <w:rFonts w:ascii="Times New Roman" w:hAnsi="Times New Roman" w:cs="Times New Roman"/>
          <w:sz w:val="24"/>
          <w:szCs w:val="24"/>
        </w:rPr>
        <w:t>sorából és oszlopából származik</w:t>
      </w:r>
      <w:r w:rsidR="009859C5">
        <w:rPr>
          <w:rFonts w:ascii="Times New Roman" w:hAnsi="Times New Roman" w:cs="Times New Roman"/>
          <w:sz w:val="24"/>
          <w:szCs w:val="24"/>
        </w:rPr>
        <w:t xml:space="preserve">. </w:t>
      </w:r>
      <w:r w:rsidR="00FB1613">
        <w:rPr>
          <w:rFonts w:ascii="Times New Roman" w:hAnsi="Times New Roman" w:cs="Times New Roman"/>
          <w:sz w:val="24"/>
          <w:szCs w:val="24"/>
        </w:rPr>
        <w:t>A</w:t>
      </w:r>
      <w:r w:rsidR="009859C5" w:rsidRPr="00AE09C1">
        <w:rPr>
          <w:rFonts w:ascii="Times New Roman" w:hAnsi="Times New Roman" w:cs="Times New Roman"/>
          <w:sz w:val="24"/>
          <w:szCs w:val="24"/>
        </w:rPr>
        <w:t>z adatlap</w:t>
      </w:r>
      <w:r w:rsidR="00985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148">
        <w:rPr>
          <w:rFonts w:ascii="Times New Roman" w:hAnsi="Times New Roman" w:cs="Times New Roman"/>
          <w:sz w:val="24"/>
          <w:szCs w:val="24"/>
        </w:rPr>
        <w:t>tartalmilag</w:t>
      </w:r>
      <w:proofErr w:type="spellEnd"/>
      <w:r w:rsidR="00D51148">
        <w:rPr>
          <w:rFonts w:ascii="Times New Roman" w:hAnsi="Times New Roman" w:cs="Times New Roman"/>
          <w:sz w:val="24"/>
          <w:szCs w:val="24"/>
        </w:rPr>
        <w:t xml:space="preserve"> és struktúráját tekintve</w:t>
      </w:r>
      <w:r w:rsidR="00FB1613">
        <w:rPr>
          <w:rFonts w:ascii="Times New Roman" w:hAnsi="Times New Roman" w:cs="Times New Roman"/>
          <w:sz w:val="24"/>
          <w:szCs w:val="24"/>
        </w:rPr>
        <w:t xml:space="preserve"> </w:t>
      </w:r>
      <w:r w:rsidR="009859C5">
        <w:rPr>
          <w:rFonts w:ascii="Times New Roman" w:hAnsi="Times New Roman" w:cs="Times New Roman"/>
          <w:sz w:val="24"/>
          <w:szCs w:val="24"/>
        </w:rPr>
        <w:t>azonban</w:t>
      </w:r>
      <w:r w:rsidR="009859C5" w:rsidRPr="00AE09C1">
        <w:rPr>
          <w:rFonts w:ascii="Times New Roman" w:hAnsi="Times New Roman" w:cs="Times New Roman"/>
          <w:sz w:val="24"/>
          <w:szCs w:val="24"/>
        </w:rPr>
        <w:t xml:space="preserve"> </w:t>
      </w:r>
      <w:r w:rsidR="002171FB" w:rsidRPr="00AE09C1">
        <w:rPr>
          <w:rFonts w:ascii="Times New Roman" w:hAnsi="Times New Roman" w:cs="Times New Roman"/>
          <w:sz w:val="24"/>
          <w:szCs w:val="24"/>
        </w:rPr>
        <w:t>némileg</w:t>
      </w:r>
      <w:r w:rsidR="009859C5" w:rsidRPr="00AE09C1">
        <w:rPr>
          <w:rFonts w:ascii="Times New Roman" w:hAnsi="Times New Roman" w:cs="Times New Roman"/>
          <w:sz w:val="24"/>
          <w:szCs w:val="24"/>
        </w:rPr>
        <w:t xml:space="preserve"> minden évben </w:t>
      </w:r>
      <w:r w:rsidR="00FB1613">
        <w:rPr>
          <w:rFonts w:ascii="Times New Roman" w:hAnsi="Times New Roman" w:cs="Times New Roman"/>
          <w:sz w:val="24"/>
          <w:szCs w:val="24"/>
        </w:rPr>
        <w:t>módosult</w:t>
      </w:r>
      <w:r w:rsidR="009859C5" w:rsidRPr="00AE09C1">
        <w:rPr>
          <w:rFonts w:ascii="Times New Roman" w:hAnsi="Times New Roman" w:cs="Times New Roman"/>
          <w:sz w:val="24"/>
          <w:szCs w:val="24"/>
        </w:rPr>
        <w:t>,</w:t>
      </w:r>
      <w:r w:rsidR="00FB1613">
        <w:rPr>
          <w:rFonts w:ascii="Times New Roman" w:hAnsi="Times New Roman" w:cs="Times New Roman"/>
          <w:sz w:val="24"/>
          <w:szCs w:val="24"/>
        </w:rPr>
        <w:t xml:space="preserve"> ily módon</w:t>
      </w:r>
      <w:r w:rsidR="009859C5" w:rsidRPr="00AE09C1">
        <w:rPr>
          <w:rFonts w:ascii="Times New Roman" w:hAnsi="Times New Roman" w:cs="Times New Roman"/>
          <w:sz w:val="24"/>
          <w:szCs w:val="24"/>
        </w:rPr>
        <w:t xml:space="preserve"> </w:t>
      </w:r>
      <w:r w:rsidR="00FB1613">
        <w:rPr>
          <w:rFonts w:ascii="Times New Roman" w:hAnsi="Times New Roman" w:cs="Times New Roman"/>
          <w:sz w:val="24"/>
          <w:szCs w:val="24"/>
        </w:rPr>
        <w:t xml:space="preserve">megváltoztatva </w:t>
      </w:r>
      <w:r w:rsidR="00F5718C">
        <w:rPr>
          <w:rFonts w:ascii="Times New Roman" w:hAnsi="Times New Roman" w:cs="Times New Roman"/>
          <w:sz w:val="24"/>
          <w:szCs w:val="24"/>
        </w:rPr>
        <w:t>a keresztmetszeti adatbázisban szereplő változók sorre</w:t>
      </w:r>
      <w:r w:rsidR="00FB1613">
        <w:rPr>
          <w:rFonts w:ascii="Times New Roman" w:hAnsi="Times New Roman" w:cs="Times New Roman"/>
          <w:sz w:val="24"/>
          <w:szCs w:val="24"/>
        </w:rPr>
        <w:t>ndjét és</w:t>
      </w:r>
      <w:r w:rsidR="00F5718C">
        <w:rPr>
          <w:rFonts w:ascii="Times New Roman" w:hAnsi="Times New Roman" w:cs="Times New Roman"/>
          <w:sz w:val="24"/>
          <w:szCs w:val="24"/>
        </w:rPr>
        <w:t xml:space="preserve"> nev</w:t>
      </w:r>
      <w:r w:rsidR="00FB1613">
        <w:rPr>
          <w:rFonts w:ascii="Times New Roman" w:hAnsi="Times New Roman" w:cs="Times New Roman"/>
          <w:sz w:val="24"/>
          <w:szCs w:val="24"/>
        </w:rPr>
        <w:t>ét</w:t>
      </w:r>
      <w:r w:rsidR="007B1EB3">
        <w:rPr>
          <w:rFonts w:ascii="Times New Roman" w:hAnsi="Times New Roman" w:cs="Times New Roman"/>
          <w:sz w:val="24"/>
          <w:szCs w:val="24"/>
        </w:rPr>
        <w:t xml:space="preserve"> is</w:t>
      </w:r>
      <w:r w:rsidR="00D51148">
        <w:rPr>
          <w:rFonts w:ascii="Times New Roman" w:hAnsi="Times New Roman" w:cs="Times New Roman"/>
          <w:sz w:val="24"/>
          <w:szCs w:val="24"/>
        </w:rPr>
        <w:t xml:space="preserve">. </w:t>
      </w:r>
      <w:r w:rsidR="009859C5" w:rsidRPr="001A5F20">
        <w:rPr>
          <w:rFonts w:ascii="Times New Roman" w:hAnsi="Times New Roman" w:cs="Times New Roman"/>
          <w:sz w:val="24"/>
          <w:szCs w:val="24"/>
        </w:rPr>
        <w:t xml:space="preserve">A </w:t>
      </w:r>
      <w:r w:rsidR="000D43D5">
        <w:rPr>
          <w:rFonts w:ascii="Times New Roman" w:hAnsi="Times New Roman" w:cs="Times New Roman"/>
          <w:sz w:val="24"/>
          <w:szCs w:val="24"/>
        </w:rPr>
        <w:t>változó</w:t>
      </w:r>
      <w:r w:rsidR="009859C5" w:rsidRPr="001A5F20">
        <w:rPr>
          <w:rFonts w:ascii="Times New Roman" w:hAnsi="Times New Roman" w:cs="Times New Roman"/>
          <w:sz w:val="24"/>
          <w:szCs w:val="24"/>
        </w:rPr>
        <w:t>harmonizálás</w:t>
      </w:r>
      <w:r w:rsidR="0067196E">
        <w:rPr>
          <w:rFonts w:ascii="Times New Roman" w:hAnsi="Times New Roman" w:cs="Times New Roman"/>
          <w:sz w:val="24"/>
          <w:szCs w:val="24"/>
        </w:rPr>
        <w:t xml:space="preserve"> fő</w:t>
      </w:r>
      <w:r w:rsidR="009859C5" w:rsidRPr="001A5F20">
        <w:rPr>
          <w:rFonts w:ascii="Times New Roman" w:hAnsi="Times New Roman" w:cs="Times New Roman"/>
          <w:sz w:val="24"/>
          <w:szCs w:val="24"/>
        </w:rPr>
        <w:t xml:space="preserve"> célja </w:t>
      </w:r>
      <w:r w:rsidR="00FB1613">
        <w:rPr>
          <w:rFonts w:ascii="Times New Roman" w:hAnsi="Times New Roman" w:cs="Times New Roman"/>
          <w:sz w:val="24"/>
          <w:szCs w:val="24"/>
        </w:rPr>
        <w:t>ebből következően</w:t>
      </w:r>
      <w:r w:rsidR="009859C5" w:rsidRPr="001A5F20">
        <w:rPr>
          <w:rFonts w:ascii="Times New Roman" w:hAnsi="Times New Roman" w:cs="Times New Roman"/>
          <w:sz w:val="24"/>
          <w:szCs w:val="24"/>
        </w:rPr>
        <w:t xml:space="preserve"> az volt, hogy</w:t>
      </w:r>
      <w:r w:rsidR="00ED15C5">
        <w:rPr>
          <w:rFonts w:ascii="Times New Roman" w:hAnsi="Times New Roman" w:cs="Times New Roman"/>
          <w:sz w:val="24"/>
          <w:szCs w:val="24"/>
        </w:rPr>
        <w:t xml:space="preserve"> a változónevek standardizálása révén</w:t>
      </w:r>
      <w:r w:rsidR="000D43D5">
        <w:rPr>
          <w:rFonts w:ascii="Times New Roman" w:hAnsi="Times New Roman" w:cs="Times New Roman"/>
          <w:sz w:val="24"/>
          <w:szCs w:val="24"/>
        </w:rPr>
        <w:t xml:space="preserve"> </w:t>
      </w:r>
      <w:r w:rsidR="00414CB8">
        <w:rPr>
          <w:rFonts w:ascii="Times New Roman" w:hAnsi="Times New Roman" w:cs="Times New Roman"/>
          <w:sz w:val="24"/>
          <w:szCs w:val="24"/>
        </w:rPr>
        <w:t>felszámoljuk</w:t>
      </w:r>
      <w:r w:rsidR="009859C5" w:rsidRPr="001A5F20">
        <w:rPr>
          <w:rFonts w:ascii="Times New Roman" w:hAnsi="Times New Roman" w:cs="Times New Roman"/>
          <w:sz w:val="24"/>
          <w:szCs w:val="24"/>
        </w:rPr>
        <w:t xml:space="preserve"> az adatlap folyamatos változtatásaiból fakadó zavaros állapotokat, és </w:t>
      </w:r>
      <w:r w:rsidR="00BD526C">
        <w:rPr>
          <w:rFonts w:ascii="Times New Roman" w:hAnsi="Times New Roman" w:cs="Times New Roman"/>
          <w:sz w:val="24"/>
          <w:szCs w:val="24"/>
        </w:rPr>
        <w:t>stabil</w:t>
      </w:r>
      <w:r w:rsidR="009859C5" w:rsidRPr="001A5F20">
        <w:rPr>
          <w:rFonts w:ascii="Times New Roman" w:hAnsi="Times New Roman" w:cs="Times New Roman"/>
          <w:sz w:val="24"/>
          <w:szCs w:val="24"/>
        </w:rPr>
        <w:t xml:space="preserve"> </w:t>
      </w:r>
      <w:r w:rsidR="00BD526C">
        <w:rPr>
          <w:rFonts w:ascii="Times New Roman" w:hAnsi="Times New Roman" w:cs="Times New Roman"/>
          <w:sz w:val="24"/>
          <w:szCs w:val="24"/>
        </w:rPr>
        <w:t>alapot</w:t>
      </w:r>
      <w:r w:rsidR="009859C5" w:rsidRPr="001A5F20">
        <w:rPr>
          <w:rFonts w:ascii="Times New Roman" w:hAnsi="Times New Roman" w:cs="Times New Roman"/>
          <w:sz w:val="24"/>
          <w:szCs w:val="24"/>
        </w:rPr>
        <w:t xml:space="preserve"> biztosíts</w:t>
      </w:r>
      <w:r w:rsidR="000D43D5">
        <w:rPr>
          <w:rFonts w:ascii="Times New Roman" w:hAnsi="Times New Roman" w:cs="Times New Roman"/>
          <w:sz w:val="24"/>
          <w:szCs w:val="24"/>
        </w:rPr>
        <w:t>unk</w:t>
      </w:r>
      <w:r w:rsidR="009859C5" w:rsidRPr="001A5F20">
        <w:rPr>
          <w:rFonts w:ascii="Times New Roman" w:hAnsi="Times New Roman" w:cs="Times New Roman"/>
          <w:sz w:val="24"/>
          <w:szCs w:val="24"/>
        </w:rPr>
        <w:t xml:space="preserve"> az ezekre épülő </w:t>
      </w:r>
      <w:r w:rsidR="00114EC7">
        <w:rPr>
          <w:rFonts w:ascii="Times New Roman" w:hAnsi="Times New Roman" w:cs="Times New Roman"/>
          <w:sz w:val="24"/>
          <w:szCs w:val="24"/>
        </w:rPr>
        <w:t>további</w:t>
      </w:r>
      <w:r w:rsidR="002171FB">
        <w:rPr>
          <w:rFonts w:ascii="Times New Roman" w:hAnsi="Times New Roman" w:cs="Times New Roman"/>
          <w:sz w:val="24"/>
          <w:szCs w:val="24"/>
        </w:rPr>
        <w:t xml:space="preserve"> </w:t>
      </w:r>
      <w:r w:rsidR="009859C5" w:rsidRPr="001A5F20">
        <w:rPr>
          <w:rFonts w:ascii="Times New Roman" w:hAnsi="Times New Roman" w:cs="Times New Roman"/>
          <w:sz w:val="24"/>
          <w:szCs w:val="24"/>
        </w:rPr>
        <w:t>feldolgozási</w:t>
      </w:r>
      <w:r w:rsidR="009859C5">
        <w:rPr>
          <w:rFonts w:ascii="Times New Roman" w:hAnsi="Times New Roman" w:cs="Times New Roman"/>
          <w:sz w:val="24"/>
          <w:szCs w:val="24"/>
        </w:rPr>
        <w:t>, elemzési</w:t>
      </w:r>
      <w:r w:rsidR="009859C5" w:rsidRPr="001A5F20">
        <w:rPr>
          <w:rFonts w:ascii="Times New Roman" w:hAnsi="Times New Roman" w:cs="Times New Roman"/>
          <w:sz w:val="24"/>
          <w:szCs w:val="24"/>
        </w:rPr>
        <w:t xml:space="preserve"> és publikálási folyamatoknak. </w:t>
      </w:r>
      <w:r w:rsidR="00F5718C">
        <w:rPr>
          <w:rFonts w:ascii="Times New Roman" w:hAnsi="Times New Roman" w:cs="Times New Roman"/>
          <w:sz w:val="24"/>
          <w:szCs w:val="24"/>
        </w:rPr>
        <w:t xml:space="preserve"> </w:t>
      </w:r>
      <w:r w:rsidR="008A05D3">
        <w:rPr>
          <w:rFonts w:ascii="Times New Roman" w:hAnsi="Times New Roman" w:cs="Times New Roman"/>
          <w:sz w:val="24"/>
          <w:szCs w:val="24"/>
        </w:rPr>
        <w:t xml:space="preserve"> </w:t>
      </w:r>
      <w:r w:rsidR="00FB1613">
        <w:rPr>
          <w:rFonts w:ascii="Times New Roman" w:hAnsi="Times New Roman" w:cs="Times New Roman"/>
          <w:sz w:val="24"/>
          <w:szCs w:val="24"/>
        </w:rPr>
        <w:t xml:space="preserve"> </w:t>
      </w:r>
      <w:r w:rsidR="00414CB8">
        <w:rPr>
          <w:rFonts w:ascii="Times New Roman" w:hAnsi="Times New Roman" w:cs="Times New Roman"/>
          <w:sz w:val="24"/>
          <w:szCs w:val="24"/>
        </w:rPr>
        <w:t xml:space="preserve"> </w:t>
      </w:r>
      <w:r w:rsidR="00671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EE0FC" w14:textId="3EF1EF27" w:rsidR="0005253C" w:rsidRDefault="005423DF" w:rsidP="00050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F20">
        <w:rPr>
          <w:rFonts w:ascii="Times New Roman" w:hAnsi="Times New Roman" w:cs="Times New Roman"/>
          <w:sz w:val="24"/>
          <w:szCs w:val="24"/>
        </w:rPr>
        <w:t xml:space="preserve">Az </w:t>
      </w:r>
      <w:r w:rsidR="00642D21">
        <w:rPr>
          <w:rFonts w:ascii="Times New Roman" w:hAnsi="Times New Roman" w:cs="Times New Roman"/>
          <w:sz w:val="24"/>
          <w:szCs w:val="24"/>
        </w:rPr>
        <w:t>alábbi táblázatban</w:t>
      </w:r>
      <w:r w:rsidRPr="001A5F20">
        <w:rPr>
          <w:rFonts w:ascii="Times New Roman" w:hAnsi="Times New Roman" w:cs="Times New Roman"/>
          <w:sz w:val="24"/>
          <w:szCs w:val="24"/>
        </w:rPr>
        <w:t xml:space="preserve"> a l</w:t>
      </w:r>
      <w:r w:rsidR="003C783E" w:rsidRPr="001A5F20">
        <w:rPr>
          <w:rFonts w:ascii="Times New Roman" w:hAnsi="Times New Roman" w:cs="Times New Roman"/>
          <w:sz w:val="24"/>
          <w:szCs w:val="24"/>
        </w:rPr>
        <w:t>étrehozott</w:t>
      </w:r>
      <w:r w:rsidRPr="001A5F20">
        <w:rPr>
          <w:rFonts w:ascii="Times New Roman" w:hAnsi="Times New Roman" w:cs="Times New Roman"/>
          <w:sz w:val="24"/>
          <w:szCs w:val="24"/>
        </w:rPr>
        <w:t xml:space="preserve"> </w:t>
      </w:r>
      <w:r w:rsidR="003D794E" w:rsidRPr="001A5F20">
        <w:rPr>
          <w:rFonts w:ascii="Times New Roman" w:hAnsi="Times New Roman" w:cs="Times New Roman"/>
          <w:sz w:val="24"/>
          <w:szCs w:val="24"/>
        </w:rPr>
        <w:t>idősoros adatbázisban</w:t>
      </w:r>
      <w:r w:rsidRPr="001A5F20">
        <w:rPr>
          <w:rFonts w:ascii="Times New Roman" w:hAnsi="Times New Roman" w:cs="Times New Roman"/>
          <w:sz w:val="24"/>
          <w:szCs w:val="24"/>
        </w:rPr>
        <w:t xml:space="preserve"> szereplő változók </w:t>
      </w:r>
      <w:r w:rsidR="001A20D9">
        <w:rPr>
          <w:rFonts w:ascii="Times New Roman" w:hAnsi="Times New Roman" w:cs="Times New Roman"/>
          <w:sz w:val="24"/>
          <w:szCs w:val="24"/>
        </w:rPr>
        <w:t>szerepelnek</w:t>
      </w:r>
      <w:r w:rsidRPr="001A5F20">
        <w:rPr>
          <w:rFonts w:ascii="Times New Roman" w:hAnsi="Times New Roman" w:cs="Times New Roman"/>
          <w:sz w:val="24"/>
          <w:szCs w:val="24"/>
        </w:rPr>
        <w:t>, tematika szerint csoportosítva.</w:t>
      </w:r>
      <w:r w:rsidR="00AE09C1">
        <w:rPr>
          <w:rFonts w:ascii="Times New Roman" w:hAnsi="Times New Roman" w:cs="Times New Roman"/>
          <w:sz w:val="24"/>
          <w:szCs w:val="24"/>
        </w:rPr>
        <w:t xml:space="preserve"> </w:t>
      </w:r>
      <w:r w:rsidR="00050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89CFF" w14:textId="77777777" w:rsidR="00050F1E" w:rsidRPr="001A5F20" w:rsidRDefault="00050F1E" w:rsidP="00050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BFBCE5" w14:textId="74578100" w:rsidR="00642D21" w:rsidRPr="00413B3C" w:rsidRDefault="00F13136" w:rsidP="00642D21">
      <w:pPr>
        <w:jc w:val="center"/>
        <w:rPr>
          <w:rFonts w:ascii="Times New Roman" w:hAnsi="Times New Roman" w:cs="Times New Roman"/>
          <w:b/>
          <w:szCs w:val="24"/>
        </w:rPr>
      </w:pPr>
      <w:r w:rsidRPr="00413B3C">
        <w:rPr>
          <w:rFonts w:ascii="Times New Roman" w:hAnsi="Times New Roman" w:cs="Times New Roman"/>
          <w:b/>
          <w:szCs w:val="24"/>
        </w:rPr>
        <w:t>Az adattáblákban szereplő változónevek fő és alcsoportjainak felépítése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42D21" w:rsidRPr="00642D21" w14:paraId="18EBA990" w14:textId="77777777" w:rsidTr="00BB2F45">
        <w:trPr>
          <w:trHeight w:val="734"/>
          <w:jc w:val="center"/>
        </w:trPr>
        <w:tc>
          <w:tcPr>
            <w:tcW w:w="4531" w:type="dxa"/>
          </w:tcPr>
          <w:p w14:paraId="3B952401" w14:textId="0BB349D3" w:rsidR="00642D21" w:rsidRPr="009F2CC2" w:rsidRDefault="00642D21" w:rsidP="00BB2F4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Azonosítok</w:t>
            </w:r>
          </w:p>
        </w:tc>
        <w:tc>
          <w:tcPr>
            <w:tcW w:w="4531" w:type="dxa"/>
          </w:tcPr>
          <w:p w14:paraId="5D0D3B9E" w14:textId="1A537CAE" w:rsidR="00642D21" w:rsidRPr="00413B3C" w:rsidRDefault="00642D21" w:rsidP="00BB2F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9C4">
              <w:rPr>
                <w:rFonts w:ascii="Times New Roman" w:hAnsi="Times New Roman" w:cs="Times New Roman"/>
                <w:sz w:val="20"/>
                <w:szCs w:val="20"/>
              </w:rPr>
              <w:t xml:space="preserve">ID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Azonosítási adatok</w:t>
            </w:r>
          </w:p>
          <w:p w14:paraId="6392FC73" w14:textId="74584D53" w:rsidR="00642D21" w:rsidRPr="004769C4" w:rsidRDefault="00642D21" w:rsidP="00BB2F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4">
              <w:rPr>
                <w:rFonts w:ascii="Times New Roman" w:hAnsi="Times New Roman" w:cs="Times New Roman"/>
                <w:sz w:val="20"/>
                <w:szCs w:val="20"/>
              </w:rPr>
              <w:t xml:space="preserve">YR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Adatfelvétel referenciaéve</w:t>
            </w:r>
          </w:p>
        </w:tc>
      </w:tr>
      <w:tr w:rsidR="00642D21" w:rsidRPr="00642D21" w14:paraId="164EEA9B" w14:textId="77777777" w:rsidTr="00BB2F45">
        <w:trPr>
          <w:trHeight w:val="1410"/>
          <w:jc w:val="center"/>
        </w:trPr>
        <w:tc>
          <w:tcPr>
            <w:tcW w:w="4531" w:type="dxa"/>
          </w:tcPr>
          <w:p w14:paraId="55B5C5C2" w14:textId="6F66536F" w:rsidR="00B879B8" w:rsidRPr="009F2CC2" w:rsidRDefault="00642D21" w:rsidP="00BB2F4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Alapadatok</w:t>
            </w:r>
            <w:r w:rsidR="00B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A</w:t>
            </w:r>
          </w:p>
          <w:p w14:paraId="6CC8ABE6" w14:textId="07460194" w:rsidR="00642D21" w:rsidRPr="00FB42DF" w:rsidRDefault="00642D21" w:rsidP="00F131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85DD0" w14:textId="1A81F94F" w:rsidR="00642D21" w:rsidRPr="00FB42DF" w:rsidRDefault="00642D21" w:rsidP="00F1313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F117E3D" w14:textId="59C85266" w:rsidR="00642D21" w:rsidRPr="00413B3C" w:rsidRDefault="00642D21" w:rsidP="00BB2F45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9C4">
              <w:rPr>
                <w:rFonts w:ascii="Times New Roman" w:hAnsi="Times New Roman" w:cs="Times New Roman"/>
                <w:sz w:val="20"/>
                <w:szCs w:val="20"/>
              </w:rPr>
              <w:t xml:space="preserve">AA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Alapadatok</w:t>
            </w:r>
          </w:p>
          <w:p w14:paraId="0DE51517" w14:textId="6656D9E9" w:rsidR="00642D21" w:rsidRPr="004769C4" w:rsidRDefault="00642D21" w:rsidP="00BB2F4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4">
              <w:rPr>
                <w:rFonts w:ascii="Times New Roman" w:hAnsi="Times New Roman" w:cs="Times New Roman"/>
                <w:sz w:val="20"/>
                <w:szCs w:val="20"/>
              </w:rPr>
              <w:t xml:space="preserve">AE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Ellátókönyvtár adatai</w:t>
            </w:r>
          </w:p>
          <w:p w14:paraId="2866CC3A" w14:textId="01CBBBA7" w:rsidR="00642D21" w:rsidRPr="004769C4" w:rsidRDefault="00642D21" w:rsidP="00BB2F4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4">
              <w:rPr>
                <w:rFonts w:ascii="Times New Roman" w:hAnsi="Times New Roman" w:cs="Times New Roman"/>
                <w:sz w:val="20"/>
                <w:szCs w:val="20"/>
              </w:rPr>
              <w:t xml:space="preserve">AI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Funkcionális, működési információk</w:t>
            </w:r>
          </w:p>
          <w:p w14:paraId="64E3E82D" w14:textId="0DC89D32" w:rsidR="00642D21" w:rsidRPr="004769C4" w:rsidRDefault="00642D21" w:rsidP="00BB2F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4">
              <w:rPr>
                <w:rFonts w:ascii="Times New Roman" w:hAnsi="Times New Roman" w:cs="Times New Roman"/>
                <w:sz w:val="20"/>
                <w:szCs w:val="20"/>
              </w:rPr>
              <w:t xml:space="preserve">AO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Szervezeti adatok</w:t>
            </w:r>
          </w:p>
        </w:tc>
      </w:tr>
      <w:tr w:rsidR="00642D21" w:rsidRPr="00642D21" w14:paraId="5F56D4A5" w14:textId="77777777" w:rsidTr="004E0FB6">
        <w:trPr>
          <w:trHeight w:val="707"/>
          <w:jc w:val="center"/>
        </w:trPr>
        <w:tc>
          <w:tcPr>
            <w:tcW w:w="4531" w:type="dxa"/>
          </w:tcPr>
          <w:p w14:paraId="6D775A24" w14:textId="7B269A2F" w:rsidR="00642D21" w:rsidRPr="009F2CC2" w:rsidRDefault="00B879B8" w:rsidP="00BB2F4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Épület – B</w:t>
            </w:r>
          </w:p>
        </w:tc>
        <w:tc>
          <w:tcPr>
            <w:tcW w:w="4531" w:type="dxa"/>
          </w:tcPr>
          <w:p w14:paraId="4F6430BE" w14:textId="545F1911" w:rsidR="00642D21" w:rsidRPr="00413B3C" w:rsidRDefault="00642D21" w:rsidP="00BB2F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69C4">
              <w:rPr>
                <w:rFonts w:ascii="Times New Roman" w:hAnsi="Times New Roman" w:cs="Times New Roman"/>
                <w:sz w:val="20"/>
                <w:szCs w:val="20"/>
              </w:rPr>
              <w:t xml:space="preserve">BA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Épület adatai</w:t>
            </w:r>
          </w:p>
          <w:p w14:paraId="16CA060D" w14:textId="4B6BB413" w:rsidR="00642D21" w:rsidRPr="004769C4" w:rsidRDefault="00642D21" w:rsidP="00BB2F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4">
              <w:rPr>
                <w:rFonts w:ascii="Times New Roman" w:hAnsi="Times New Roman" w:cs="Times New Roman"/>
                <w:sz w:val="20"/>
                <w:szCs w:val="20"/>
              </w:rPr>
              <w:t xml:space="preserve">BE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Épület megközelítése</w:t>
            </w:r>
          </w:p>
        </w:tc>
      </w:tr>
      <w:tr w:rsidR="00642D21" w:rsidRPr="00642D21" w14:paraId="5D100CCC" w14:textId="77777777" w:rsidTr="004E0FB6">
        <w:trPr>
          <w:trHeight w:val="316"/>
          <w:jc w:val="center"/>
        </w:trPr>
        <w:tc>
          <w:tcPr>
            <w:tcW w:w="4531" w:type="dxa"/>
          </w:tcPr>
          <w:p w14:paraId="77BDC13E" w14:textId="0F77294D" w:rsidR="00642D21" w:rsidRPr="009F2CC2" w:rsidRDefault="00642D21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Informatikai eszközök</w:t>
            </w:r>
            <w:r w:rsidR="00B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C</w:t>
            </w:r>
          </w:p>
        </w:tc>
        <w:tc>
          <w:tcPr>
            <w:tcW w:w="4531" w:type="dxa"/>
          </w:tcPr>
          <w:p w14:paraId="45AB70B8" w14:textId="2C62FDFA" w:rsidR="00642D21" w:rsidRPr="00642D21" w:rsidRDefault="00642D21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D21">
              <w:rPr>
                <w:rFonts w:ascii="Times New Roman" w:hAnsi="Times New Roman" w:cs="Times New Roman"/>
                <w:sz w:val="20"/>
                <w:szCs w:val="20"/>
              </w:rPr>
              <w:t xml:space="preserve">CA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IT infrastruktúra</w:t>
            </w:r>
          </w:p>
        </w:tc>
      </w:tr>
      <w:tr w:rsidR="00642D21" w:rsidRPr="00642D21" w14:paraId="5AF11808" w14:textId="77777777" w:rsidTr="004E0FB6">
        <w:trPr>
          <w:trHeight w:val="1384"/>
          <w:jc w:val="center"/>
        </w:trPr>
        <w:tc>
          <w:tcPr>
            <w:tcW w:w="4531" w:type="dxa"/>
          </w:tcPr>
          <w:p w14:paraId="4BC7D2AA" w14:textId="0DB4873B" w:rsidR="00642D21" w:rsidRPr="009F2CC2" w:rsidRDefault="00642D21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Szolgáltatások áttekintése</w:t>
            </w:r>
            <w:r w:rsidR="00B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D</w:t>
            </w:r>
          </w:p>
        </w:tc>
        <w:tc>
          <w:tcPr>
            <w:tcW w:w="4531" w:type="dxa"/>
          </w:tcPr>
          <w:p w14:paraId="05224474" w14:textId="5119A97B" w:rsidR="00642D21" w:rsidRPr="00413B3C" w:rsidRDefault="00642D21" w:rsidP="004E0FB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2D21">
              <w:rPr>
                <w:rFonts w:ascii="Times New Roman" w:hAnsi="Times New Roman" w:cs="Times New Roman"/>
                <w:sz w:val="20"/>
                <w:szCs w:val="20"/>
              </w:rPr>
              <w:t xml:space="preserve">DA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Nyitvatartási adatok</w:t>
            </w:r>
          </w:p>
          <w:p w14:paraId="0BF53452" w14:textId="0E05FC6D" w:rsidR="00642D21" w:rsidRPr="00642D21" w:rsidRDefault="00642D21" w:rsidP="004E0F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21">
              <w:rPr>
                <w:rFonts w:ascii="Times New Roman" w:hAnsi="Times New Roman" w:cs="Times New Roman"/>
                <w:sz w:val="20"/>
                <w:szCs w:val="20"/>
              </w:rPr>
              <w:t xml:space="preserve">DE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Szolgáltatási díjakra vonatkozó adatok</w:t>
            </w:r>
          </w:p>
          <w:p w14:paraId="58E4D892" w14:textId="1105E58D" w:rsidR="00642D21" w:rsidRPr="00642D21" w:rsidRDefault="00642D21" w:rsidP="004E0F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21">
              <w:rPr>
                <w:rFonts w:ascii="Times New Roman" w:hAnsi="Times New Roman" w:cs="Times New Roman"/>
                <w:sz w:val="20"/>
                <w:szCs w:val="20"/>
              </w:rPr>
              <w:t xml:space="preserve">DI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Szolgáltatások áttekintése</w:t>
            </w:r>
          </w:p>
          <w:p w14:paraId="4BE99475" w14:textId="4CD048F2" w:rsidR="00642D21" w:rsidRPr="00642D21" w:rsidRDefault="00642D21" w:rsidP="004E0F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21">
              <w:rPr>
                <w:rFonts w:ascii="Times New Roman" w:hAnsi="Times New Roman" w:cs="Times New Roman"/>
                <w:sz w:val="20"/>
                <w:szCs w:val="20"/>
              </w:rPr>
              <w:t xml:space="preserve">DO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Akadálymentes szolgáltatások</w:t>
            </w:r>
          </w:p>
        </w:tc>
      </w:tr>
      <w:tr w:rsidR="00642D21" w:rsidRPr="00642D21" w14:paraId="71C78827" w14:textId="77777777" w:rsidTr="004E0FB6">
        <w:trPr>
          <w:trHeight w:val="1069"/>
          <w:jc w:val="center"/>
        </w:trPr>
        <w:tc>
          <w:tcPr>
            <w:tcW w:w="4531" w:type="dxa"/>
          </w:tcPr>
          <w:p w14:paraId="14BE22C7" w14:textId="0C542013" w:rsidR="00B879B8" w:rsidRPr="009F2CC2" w:rsidRDefault="00642D21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Kommunikáció és közösségi média</w:t>
            </w:r>
            <w:r w:rsidR="00B879B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 E</w:t>
            </w:r>
          </w:p>
          <w:p w14:paraId="480E038A" w14:textId="706C00B1" w:rsidR="00642D21" w:rsidRPr="009F2CC2" w:rsidRDefault="00642D21" w:rsidP="00F131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EC34F6" w14:textId="6CA77CCF" w:rsidR="00642D21" w:rsidRPr="009F2CC2" w:rsidRDefault="00642D21" w:rsidP="00F131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E11BE3" w14:textId="31AE9CDD" w:rsidR="00642D21" w:rsidRPr="00642D21" w:rsidRDefault="00642D21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D21">
              <w:rPr>
                <w:rFonts w:ascii="Times New Roman" w:hAnsi="Times New Roman" w:cs="Times New Roman"/>
                <w:sz w:val="20"/>
                <w:szCs w:val="20"/>
              </w:rPr>
              <w:t xml:space="preserve">EA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Informatikai szolgáltatások</w:t>
            </w:r>
          </w:p>
          <w:p w14:paraId="64F7B21A" w14:textId="77777777" w:rsidR="00642D21" w:rsidRPr="00413B3C" w:rsidRDefault="00642D21" w:rsidP="004E0F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2D21">
              <w:rPr>
                <w:rFonts w:ascii="Times New Roman" w:hAnsi="Times New Roman" w:cs="Times New Roman"/>
                <w:sz w:val="20"/>
                <w:szCs w:val="20"/>
              </w:rPr>
              <w:t xml:space="preserve">EE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Weblap</w:t>
            </w:r>
          </w:p>
          <w:p w14:paraId="3DB8B369" w14:textId="133EB13B" w:rsidR="00642D21" w:rsidRPr="00642D21" w:rsidRDefault="008976CA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 –</w:t>
            </w:r>
            <w:r w:rsidR="00642D21" w:rsidRPr="00642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D21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Kommunikáció</w:t>
            </w:r>
          </w:p>
        </w:tc>
      </w:tr>
      <w:tr w:rsidR="00E3139E" w:rsidRPr="00642D21" w14:paraId="68EF8F8E" w14:textId="77777777" w:rsidTr="004E0FB6">
        <w:trPr>
          <w:trHeight w:val="1686"/>
          <w:jc w:val="center"/>
        </w:trPr>
        <w:tc>
          <w:tcPr>
            <w:tcW w:w="4531" w:type="dxa"/>
          </w:tcPr>
          <w:p w14:paraId="06AD32DF" w14:textId="1E5BEFAF" w:rsidR="00B879B8" w:rsidRPr="009F2CC2" w:rsidRDefault="00E3139E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Digitalizálás és elektronikus dokumentumszolgáltatás</w:t>
            </w:r>
            <w:r w:rsidR="00B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F</w:t>
            </w:r>
          </w:p>
          <w:p w14:paraId="1FBC0975" w14:textId="05DF571C" w:rsidR="00E3139E" w:rsidRPr="009F2CC2" w:rsidRDefault="00E3139E" w:rsidP="00F131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28EE800C" w14:textId="49FAD7FB" w:rsidR="00E3139E" w:rsidRPr="00413B3C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FA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Feldolgozás</w:t>
            </w:r>
          </w:p>
          <w:p w14:paraId="60B31F01" w14:textId="77777777" w:rsidR="00E3139E" w:rsidRPr="00413B3C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FE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Digitalizálás, digitális tartalom</w:t>
            </w:r>
          </w:p>
          <w:p w14:paraId="52B9509D" w14:textId="75EDC864" w:rsidR="00E3139E" w:rsidRPr="00E3139E" w:rsidRDefault="008976CA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 –</w:t>
            </w:r>
            <w:r w:rsidR="00E3139E"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39E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Adatbázisok</w:t>
            </w:r>
          </w:p>
          <w:p w14:paraId="2A567C6A" w14:textId="77777777" w:rsidR="00E3139E" w:rsidRPr="00E3139E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FO – </w:t>
            </w:r>
            <w:proofErr w:type="spellStart"/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Repozitórium</w:t>
            </w:r>
            <w:proofErr w:type="spellEnd"/>
          </w:p>
          <w:p w14:paraId="0BC3931E" w14:textId="28E3CF17" w:rsidR="00E3139E" w:rsidRPr="00642D21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FU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Tartalomértékesítés</w:t>
            </w:r>
          </w:p>
        </w:tc>
      </w:tr>
      <w:tr w:rsidR="00E3139E" w:rsidRPr="00642D21" w14:paraId="050DE9EB" w14:textId="77777777" w:rsidTr="004E0FB6">
        <w:trPr>
          <w:trHeight w:val="836"/>
          <w:jc w:val="center"/>
        </w:trPr>
        <w:tc>
          <w:tcPr>
            <w:tcW w:w="4531" w:type="dxa"/>
          </w:tcPr>
          <w:p w14:paraId="21B5CCE9" w14:textId="7BFD855E" w:rsidR="00B879B8" w:rsidRPr="009F2CC2" w:rsidRDefault="00E3139E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Kutatás, kutatástámogatás</w:t>
            </w:r>
            <w:r w:rsidR="00B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G</w:t>
            </w:r>
          </w:p>
          <w:p w14:paraId="5681E4A7" w14:textId="379C63E4" w:rsidR="00E3139E" w:rsidRPr="009F2CC2" w:rsidRDefault="00E3139E" w:rsidP="00F131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0F14BF" w14:textId="548C0A06" w:rsidR="00E3139E" w:rsidRPr="00413B3C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GA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Kutatástámogatás</w:t>
            </w:r>
          </w:p>
          <w:p w14:paraId="7E9BAB04" w14:textId="086DFC56" w:rsidR="00E3139E" w:rsidRPr="00E3139E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GE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Kutatás</w:t>
            </w:r>
          </w:p>
          <w:p w14:paraId="502DB88D" w14:textId="1AE28DFB" w:rsidR="00E3139E" w:rsidRPr="00642D21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GI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Kiadói tevékenység</w:t>
            </w:r>
          </w:p>
        </w:tc>
      </w:tr>
      <w:tr w:rsidR="00E3139E" w:rsidRPr="00642D21" w14:paraId="63522264" w14:textId="77777777" w:rsidTr="004E0FB6">
        <w:trPr>
          <w:trHeight w:val="652"/>
          <w:jc w:val="center"/>
        </w:trPr>
        <w:tc>
          <w:tcPr>
            <w:tcW w:w="4531" w:type="dxa"/>
          </w:tcPr>
          <w:p w14:paraId="2791B322" w14:textId="44EFC1DA" w:rsidR="00B879B8" w:rsidRPr="009F2CC2" w:rsidRDefault="00E3139E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Könyvtári rendezvények</w:t>
            </w:r>
            <w:r w:rsidR="00B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H</w:t>
            </w:r>
          </w:p>
          <w:p w14:paraId="26DEC731" w14:textId="3F11F7B5" w:rsidR="00E3139E" w:rsidRPr="009F2CC2" w:rsidRDefault="00E3139E" w:rsidP="00F131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D19E0F2" w14:textId="77777777" w:rsidR="004E0FB6" w:rsidRPr="00413B3C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HA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Rendezvények</w:t>
            </w:r>
          </w:p>
          <w:p w14:paraId="4B8C602B" w14:textId="297D75B8" w:rsidR="00E3139E" w:rsidRPr="00642D21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HE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Képzések, távoktatás</w:t>
            </w:r>
          </w:p>
        </w:tc>
      </w:tr>
      <w:tr w:rsidR="00E3139E" w:rsidRPr="00642D21" w14:paraId="11A85415" w14:textId="77777777" w:rsidTr="004E0FB6">
        <w:trPr>
          <w:trHeight w:val="364"/>
          <w:jc w:val="center"/>
        </w:trPr>
        <w:tc>
          <w:tcPr>
            <w:tcW w:w="4531" w:type="dxa"/>
          </w:tcPr>
          <w:p w14:paraId="5DA07862" w14:textId="797DCD04" w:rsidR="00E3139E" w:rsidRPr="009F2CC2" w:rsidRDefault="00E3139E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Állományvédelem</w:t>
            </w:r>
            <w:r w:rsidR="00B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J</w:t>
            </w:r>
          </w:p>
        </w:tc>
        <w:tc>
          <w:tcPr>
            <w:tcW w:w="4531" w:type="dxa"/>
          </w:tcPr>
          <w:p w14:paraId="70373991" w14:textId="6D8102AA" w:rsidR="00E3139E" w:rsidRPr="00642D21" w:rsidRDefault="00E3139E" w:rsidP="004E0F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JA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Állományvédelem</w:t>
            </w:r>
          </w:p>
        </w:tc>
      </w:tr>
      <w:tr w:rsidR="00E3139E" w:rsidRPr="00642D21" w14:paraId="40B9F7C5" w14:textId="77777777" w:rsidTr="004E0FB6">
        <w:trPr>
          <w:trHeight w:val="1702"/>
          <w:jc w:val="center"/>
        </w:trPr>
        <w:tc>
          <w:tcPr>
            <w:tcW w:w="4531" w:type="dxa"/>
          </w:tcPr>
          <w:p w14:paraId="48CC117B" w14:textId="74A1567B" w:rsidR="00B879B8" w:rsidRPr="009F2CC2" w:rsidRDefault="00E3139E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Állományadatok</w:t>
            </w:r>
            <w:r w:rsidR="00B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K</w:t>
            </w:r>
          </w:p>
          <w:p w14:paraId="01AE6C65" w14:textId="536E8B90" w:rsidR="00E3139E" w:rsidRPr="009F2CC2" w:rsidRDefault="00E3139E" w:rsidP="00F131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89A1AE" w14:textId="5412C26B" w:rsidR="00E3139E" w:rsidRPr="00413B3C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KA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Állományadatok (nyomtatott)</w:t>
            </w:r>
          </w:p>
          <w:p w14:paraId="170C44D0" w14:textId="77777777" w:rsidR="00E3139E" w:rsidRPr="00413B3C" w:rsidRDefault="00E3139E" w:rsidP="004E0F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KE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Állományadatok (digitális)</w:t>
            </w:r>
          </w:p>
          <w:p w14:paraId="4CB8A6AB" w14:textId="71505F73" w:rsidR="00E3139E" w:rsidRPr="00413B3C" w:rsidRDefault="008976CA" w:rsidP="004E0F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 w:rsidR="00E3139E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urrens folyóiratok (nyomtatott)</w:t>
            </w:r>
          </w:p>
          <w:p w14:paraId="62DED66B" w14:textId="0031E2B8" w:rsidR="00E3139E" w:rsidRPr="00413B3C" w:rsidRDefault="008976CA" w:rsidP="004E0F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 w:rsidR="00E3139E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urrens folyóiratok (digitális)</w:t>
            </w:r>
          </w:p>
          <w:p w14:paraId="1B810C1A" w14:textId="7FB07610" w:rsidR="00E3139E" w:rsidRPr="00642D21" w:rsidRDefault="00E3139E" w:rsidP="00E3139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39E">
              <w:rPr>
                <w:rFonts w:ascii="Times New Roman" w:hAnsi="Times New Roman" w:cs="Times New Roman"/>
                <w:sz w:val="20"/>
                <w:szCs w:val="20"/>
              </w:rPr>
              <w:t xml:space="preserve">KQ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Dokumentumellátás a KSZR-ben</w:t>
            </w:r>
          </w:p>
        </w:tc>
      </w:tr>
      <w:tr w:rsidR="00830F77" w:rsidRPr="00642D21" w14:paraId="72A3BC6F" w14:textId="77777777" w:rsidTr="00AD4EAD">
        <w:trPr>
          <w:trHeight w:val="1765"/>
          <w:jc w:val="center"/>
        </w:trPr>
        <w:tc>
          <w:tcPr>
            <w:tcW w:w="4531" w:type="dxa"/>
          </w:tcPr>
          <w:p w14:paraId="05D5469C" w14:textId="001406A2" w:rsidR="00B879B8" w:rsidRPr="009F2CC2" w:rsidRDefault="00830F77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Használati adatok</w:t>
            </w:r>
            <w:r w:rsidR="00B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L</w:t>
            </w:r>
          </w:p>
          <w:p w14:paraId="3149EABE" w14:textId="2F069070" w:rsidR="00830F77" w:rsidRPr="009F2CC2" w:rsidRDefault="00830F77" w:rsidP="00F131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441E1D" w14:textId="2EA449D3" w:rsidR="00830F77" w:rsidRPr="00413B3C" w:rsidRDefault="008976CA" w:rsidP="004E0FB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="00830F77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lvasók</w:t>
            </w:r>
          </w:p>
          <w:p w14:paraId="0D441DB3" w14:textId="2CE9943D" w:rsidR="00830F77" w:rsidRPr="00413B3C" w:rsidRDefault="00830F77" w:rsidP="004E0FB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F77">
              <w:rPr>
                <w:rFonts w:ascii="Times New Roman" w:hAnsi="Times New Roman" w:cs="Times New Roman"/>
                <w:sz w:val="20"/>
                <w:szCs w:val="20"/>
              </w:rPr>
              <w:t xml:space="preserve">LE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Kölcsönzés (nyomtatott)</w:t>
            </w:r>
          </w:p>
          <w:p w14:paraId="0934035E" w14:textId="5567A2B1" w:rsidR="00830F77" w:rsidRPr="00413B3C" w:rsidRDefault="00830F77" w:rsidP="004E0FB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0F77">
              <w:rPr>
                <w:rFonts w:ascii="Times New Roman" w:hAnsi="Times New Roman" w:cs="Times New Roman"/>
                <w:sz w:val="20"/>
                <w:szCs w:val="20"/>
              </w:rPr>
              <w:t xml:space="preserve">LI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Kölcsönzés (digitális)</w:t>
            </w:r>
          </w:p>
          <w:p w14:paraId="2B71EE7D" w14:textId="0EDD5AB3" w:rsidR="00830F77" w:rsidRPr="00413B3C" w:rsidRDefault="008976CA" w:rsidP="004E0FB6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="00830F77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elyben használat, információ (</w:t>
            </w:r>
            <w:proofErr w:type="spellStart"/>
            <w:r w:rsidR="00830F77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referensz</w:t>
            </w:r>
            <w:proofErr w:type="spellEnd"/>
            <w:r w:rsidR="00830F77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) szolgáltatás</w:t>
            </w:r>
          </w:p>
          <w:p w14:paraId="7BBF3D68" w14:textId="3B7B1F2B" w:rsidR="00830F77" w:rsidRPr="00642D21" w:rsidRDefault="008976CA" w:rsidP="00B008E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830F77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ávoli használat, információ (</w:t>
            </w:r>
            <w:proofErr w:type="spellStart"/>
            <w:r w:rsidR="00830F77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referensz</w:t>
            </w:r>
            <w:proofErr w:type="spellEnd"/>
            <w:r w:rsidR="00830F77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830F77" w:rsidRPr="00830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F77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szolgáltatás</w:t>
            </w:r>
          </w:p>
        </w:tc>
      </w:tr>
      <w:tr w:rsidR="00830F77" w:rsidRPr="00642D21" w14:paraId="20FAF3A4" w14:textId="77777777" w:rsidTr="00642D21">
        <w:trPr>
          <w:jc w:val="center"/>
        </w:trPr>
        <w:tc>
          <w:tcPr>
            <w:tcW w:w="4531" w:type="dxa"/>
          </w:tcPr>
          <w:p w14:paraId="11A130CF" w14:textId="4DD239E5" w:rsidR="00830F77" w:rsidRPr="009F2CC2" w:rsidRDefault="00BB2F45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Könyvtárközi kölcsönzés</w:t>
            </w:r>
            <w:r w:rsidR="005275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M</w:t>
            </w:r>
          </w:p>
        </w:tc>
        <w:tc>
          <w:tcPr>
            <w:tcW w:w="4531" w:type="dxa"/>
          </w:tcPr>
          <w:p w14:paraId="6FDA339D" w14:textId="0E79D077" w:rsidR="00830F77" w:rsidRPr="00642D21" w:rsidRDefault="00BB2F45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45">
              <w:rPr>
                <w:rFonts w:ascii="Times New Roman" w:hAnsi="Times New Roman" w:cs="Times New Roman"/>
                <w:sz w:val="20"/>
                <w:szCs w:val="20"/>
              </w:rPr>
              <w:t xml:space="preserve">MA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Könyvtárközi kölcsönzés (hazai)</w:t>
            </w:r>
          </w:p>
        </w:tc>
      </w:tr>
      <w:tr w:rsidR="00830F77" w:rsidRPr="00642D21" w14:paraId="23A7F2D0" w14:textId="77777777" w:rsidTr="004E0FB6">
        <w:trPr>
          <w:trHeight w:val="382"/>
          <w:jc w:val="center"/>
        </w:trPr>
        <w:tc>
          <w:tcPr>
            <w:tcW w:w="4531" w:type="dxa"/>
          </w:tcPr>
          <w:p w14:paraId="566199BE" w14:textId="09CE72F8" w:rsidR="00830F77" w:rsidRPr="009F2CC2" w:rsidRDefault="00BB2F45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4"/>
              </w:rPr>
              <w:t>Létszám, munkaügy</w:t>
            </w:r>
            <w:r w:rsidR="0052759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 N</w:t>
            </w:r>
          </w:p>
        </w:tc>
        <w:tc>
          <w:tcPr>
            <w:tcW w:w="4531" w:type="dxa"/>
          </w:tcPr>
          <w:p w14:paraId="7953EC94" w14:textId="22D0070E" w:rsidR="00830F77" w:rsidRPr="004E0FB6" w:rsidRDefault="00BB2F45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B2F45">
              <w:rPr>
                <w:rFonts w:ascii="Times New Roman" w:hAnsi="Times New Roman" w:cs="Times New Roman"/>
                <w:sz w:val="20"/>
                <w:szCs w:val="24"/>
              </w:rPr>
              <w:t xml:space="preserve">NA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4"/>
              </w:rPr>
              <w:t>Létszám, munkaügy</w:t>
            </w:r>
          </w:p>
        </w:tc>
      </w:tr>
      <w:tr w:rsidR="004E0FB6" w:rsidRPr="00642D21" w14:paraId="6AB109AA" w14:textId="77777777" w:rsidTr="00642D21">
        <w:trPr>
          <w:jc w:val="center"/>
        </w:trPr>
        <w:tc>
          <w:tcPr>
            <w:tcW w:w="4531" w:type="dxa"/>
          </w:tcPr>
          <w:p w14:paraId="3DB55C31" w14:textId="12BC3071" w:rsidR="004E0FB6" w:rsidRPr="0052759D" w:rsidRDefault="004E0FB6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Térítéses szolgáltatások</w:t>
            </w:r>
            <w:r w:rsidR="005275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O</w:t>
            </w:r>
          </w:p>
        </w:tc>
        <w:tc>
          <w:tcPr>
            <w:tcW w:w="4531" w:type="dxa"/>
          </w:tcPr>
          <w:p w14:paraId="719E8DC1" w14:textId="7A0E449E" w:rsidR="004E0FB6" w:rsidRPr="004E0FB6" w:rsidRDefault="004E0FB6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Reprográfiai szolgáltatások</w:t>
            </w:r>
          </w:p>
        </w:tc>
      </w:tr>
      <w:tr w:rsidR="00BB2F45" w:rsidRPr="00642D21" w14:paraId="2219EF43" w14:textId="77777777" w:rsidTr="004E0FB6">
        <w:trPr>
          <w:trHeight w:val="776"/>
          <w:jc w:val="center"/>
        </w:trPr>
        <w:tc>
          <w:tcPr>
            <w:tcW w:w="4531" w:type="dxa"/>
          </w:tcPr>
          <w:p w14:paraId="7D1AD194" w14:textId="510BADDD" w:rsidR="00BB2F45" w:rsidRPr="009F2CC2" w:rsidRDefault="00BB2F45" w:rsidP="004E0FB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Pénzügyi adatok</w:t>
            </w:r>
            <w:r w:rsidR="005275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P</w:t>
            </w:r>
          </w:p>
        </w:tc>
        <w:tc>
          <w:tcPr>
            <w:tcW w:w="4531" w:type="dxa"/>
          </w:tcPr>
          <w:p w14:paraId="2700DF17" w14:textId="3FC5F4DD" w:rsidR="00BB2F45" w:rsidRPr="00413B3C" w:rsidRDefault="00BB2F45" w:rsidP="004E0FB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F45">
              <w:rPr>
                <w:rFonts w:ascii="Times New Roman" w:hAnsi="Times New Roman" w:cs="Times New Roman"/>
                <w:sz w:val="20"/>
                <w:szCs w:val="20"/>
              </w:rPr>
              <w:t xml:space="preserve">PA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Bevételek</w:t>
            </w:r>
          </w:p>
          <w:p w14:paraId="08E70791" w14:textId="677B2D7A" w:rsidR="00BB2F45" w:rsidRPr="00642D21" w:rsidRDefault="00BB2F45" w:rsidP="004E0FB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F45">
              <w:rPr>
                <w:rFonts w:ascii="Times New Roman" w:hAnsi="Times New Roman" w:cs="Times New Roman"/>
                <w:sz w:val="20"/>
                <w:szCs w:val="20"/>
              </w:rPr>
              <w:t xml:space="preserve">PE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Kiadások</w:t>
            </w:r>
          </w:p>
        </w:tc>
      </w:tr>
      <w:tr w:rsidR="00830F77" w:rsidRPr="00642D21" w14:paraId="295BF8AB" w14:textId="77777777" w:rsidTr="004E0FB6">
        <w:trPr>
          <w:trHeight w:val="418"/>
          <w:jc w:val="center"/>
        </w:trPr>
        <w:tc>
          <w:tcPr>
            <w:tcW w:w="4531" w:type="dxa"/>
          </w:tcPr>
          <w:p w14:paraId="60385BD4" w14:textId="4F2248DD" w:rsidR="00830F77" w:rsidRPr="009F2CC2" w:rsidRDefault="00BB2F45" w:rsidP="00FB42D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CC2">
              <w:rPr>
                <w:rFonts w:ascii="Times New Roman" w:hAnsi="Times New Roman" w:cs="Times New Roman"/>
                <w:b/>
                <w:sz w:val="20"/>
                <w:szCs w:val="20"/>
              </w:rPr>
              <w:t>Kapcsolt területi adatok</w:t>
            </w:r>
            <w:r w:rsidR="005275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T</w:t>
            </w:r>
          </w:p>
        </w:tc>
        <w:tc>
          <w:tcPr>
            <w:tcW w:w="4531" w:type="dxa"/>
          </w:tcPr>
          <w:p w14:paraId="6D27C275" w14:textId="1F736404" w:rsidR="00830F77" w:rsidRPr="00642D21" w:rsidRDefault="008976CA" w:rsidP="00FB42D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 – </w:t>
            </w:r>
            <w:r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BB2F45" w:rsidRPr="00413B3C">
              <w:rPr>
                <w:rFonts w:ascii="Times New Roman" w:hAnsi="Times New Roman" w:cs="Times New Roman"/>
                <w:i/>
                <w:sz w:val="20"/>
                <w:szCs w:val="20"/>
              </w:rPr>
              <w:t>elepülés-statisztikai adatok</w:t>
            </w:r>
          </w:p>
        </w:tc>
      </w:tr>
    </w:tbl>
    <w:p w14:paraId="472B7759" w14:textId="77777777" w:rsidR="00F85F84" w:rsidRDefault="00F85F84" w:rsidP="00985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55C6F" w14:textId="600D75CF" w:rsidR="00B159F9" w:rsidRPr="001A5F20" w:rsidRDefault="00B159F9" w:rsidP="00B15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2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változónevek standardizálásának</w:t>
      </w:r>
      <w:r w:rsidRPr="001A5F20">
        <w:rPr>
          <w:rFonts w:ascii="Times New Roman" w:hAnsi="Times New Roman" w:cs="Times New Roman"/>
          <w:sz w:val="24"/>
          <w:szCs w:val="24"/>
        </w:rPr>
        <w:t xml:space="preserve"> első feltétele az volt, hogy az azonos </w:t>
      </w:r>
      <w:proofErr w:type="spellStart"/>
      <w:r w:rsidRPr="001A5F20">
        <w:rPr>
          <w:rFonts w:ascii="Times New Roman" w:hAnsi="Times New Roman" w:cs="Times New Roman"/>
          <w:sz w:val="24"/>
          <w:szCs w:val="24"/>
        </w:rPr>
        <w:t>tartalmú</w:t>
      </w:r>
      <w:proofErr w:type="spellEnd"/>
      <w:r w:rsidRPr="001A5F20">
        <w:rPr>
          <w:rFonts w:ascii="Times New Roman" w:hAnsi="Times New Roman" w:cs="Times New Roman"/>
          <w:sz w:val="24"/>
          <w:szCs w:val="24"/>
        </w:rPr>
        <w:t xml:space="preserve"> változók elnevezései nem változhatnak. Ezt úgy kívántuk elérni, hogy egy betűkóddal „köbe véstük” mi</w:t>
      </w:r>
      <w:r>
        <w:rPr>
          <w:rFonts w:ascii="Times New Roman" w:hAnsi="Times New Roman" w:cs="Times New Roman"/>
          <w:sz w:val="24"/>
          <w:szCs w:val="24"/>
        </w:rPr>
        <w:t>nden egyes változó megnevezését. A</w:t>
      </w:r>
      <w:r w:rsidRPr="001A5F20">
        <w:rPr>
          <w:rFonts w:ascii="Times New Roman" w:hAnsi="Times New Roman" w:cs="Times New Roman"/>
          <w:sz w:val="24"/>
          <w:szCs w:val="24"/>
        </w:rPr>
        <w:t xml:space="preserve"> változók betűkódjait három karakterben maximalizáltuk, a változatok megkülönböztetésére pedig ehhez két karakter hosszúságú számértéket rendeltünk. A számérték első karaktere a „változat” tartalmi módosításait vagy </w:t>
      </w:r>
      <w:r w:rsidRPr="001A5F20">
        <w:rPr>
          <w:rFonts w:ascii="Times New Roman" w:hAnsi="Times New Roman" w:cs="Times New Roman"/>
          <w:sz w:val="24"/>
          <w:szCs w:val="24"/>
        </w:rPr>
        <w:lastRenderedPageBreak/>
        <w:t>változatait tükrözi, a második számjegy pedig az értékkészlet változásait.</w:t>
      </w:r>
      <w:r w:rsidR="0058759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konstrukció előnye</w:t>
      </w:r>
      <w:r w:rsidR="003C2F2F">
        <w:rPr>
          <w:rFonts w:ascii="Times New Roman" w:hAnsi="Times New Roman" w:cs="Times New Roman"/>
          <w:sz w:val="24"/>
          <w:szCs w:val="24"/>
        </w:rPr>
        <w:t xml:space="preserve"> abban rejlik</w:t>
      </w:r>
      <w:r>
        <w:rPr>
          <w:rFonts w:ascii="Times New Roman" w:hAnsi="Times New Roman" w:cs="Times New Roman"/>
          <w:sz w:val="24"/>
          <w:szCs w:val="24"/>
        </w:rPr>
        <w:t>, h</w:t>
      </w:r>
      <w:r w:rsidRPr="001A5F20">
        <w:rPr>
          <w:rFonts w:ascii="Times New Roman" w:hAnsi="Times New Roman" w:cs="Times New Roman"/>
          <w:sz w:val="24"/>
          <w:szCs w:val="24"/>
        </w:rPr>
        <w:t>a bármilyen részleges módosítás tört</w:t>
      </w:r>
      <w:r>
        <w:rPr>
          <w:rFonts w:ascii="Times New Roman" w:hAnsi="Times New Roman" w:cs="Times New Roman"/>
          <w:sz w:val="24"/>
          <w:szCs w:val="24"/>
        </w:rPr>
        <w:t>énik akár a változó tartalmában,</w:t>
      </w:r>
      <w:r w:rsidRPr="001A5F20">
        <w:rPr>
          <w:rFonts w:ascii="Times New Roman" w:hAnsi="Times New Roman" w:cs="Times New Roman"/>
          <w:sz w:val="24"/>
          <w:szCs w:val="24"/>
        </w:rPr>
        <w:t xml:space="preserve"> akár a változó értékkészletében a jövőbeni adatfelvételek során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5F20">
        <w:rPr>
          <w:rFonts w:ascii="Times New Roman" w:hAnsi="Times New Roman" w:cs="Times New Roman"/>
          <w:sz w:val="24"/>
          <w:szCs w:val="24"/>
        </w:rPr>
        <w:t xml:space="preserve"> akkor egy járulék</w:t>
      </w:r>
      <w:r>
        <w:rPr>
          <w:rFonts w:ascii="Times New Roman" w:hAnsi="Times New Roman" w:cs="Times New Roman"/>
          <w:sz w:val="24"/>
          <w:szCs w:val="24"/>
        </w:rPr>
        <w:t>os számkóddal új változót hozhatunk</w:t>
      </w:r>
      <w:r w:rsidRPr="001A5F20">
        <w:rPr>
          <w:rFonts w:ascii="Times New Roman" w:hAnsi="Times New Roman" w:cs="Times New Roman"/>
          <w:sz w:val="24"/>
          <w:szCs w:val="24"/>
        </w:rPr>
        <w:t xml:space="preserve"> létre a változatok megkülönböztetésére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ED749F" w14:textId="453ED425" w:rsidR="00FE3182" w:rsidRDefault="00C90770" w:rsidP="6A7FFA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6A7FFABD">
        <w:rPr>
          <w:rFonts w:ascii="Times New Roman" w:hAnsi="Times New Roman" w:cs="Times New Roman"/>
          <w:sz w:val="24"/>
          <w:szCs w:val="24"/>
        </w:rPr>
        <w:t xml:space="preserve">A </w:t>
      </w:r>
      <w:r w:rsidR="00601608" w:rsidRPr="6A7FFABD">
        <w:rPr>
          <w:rFonts w:ascii="Times New Roman" w:hAnsi="Times New Roman" w:cs="Times New Roman"/>
          <w:sz w:val="24"/>
          <w:szCs w:val="24"/>
        </w:rPr>
        <w:t xml:space="preserve">Kulturális Statisztikai Rendszerből exportált, majd a Könyvtári Intézet honlapján publikált keresztmetszeti adattáblákból </w:t>
      </w:r>
      <w:r w:rsidR="006B5804" w:rsidRPr="6A7FFABD">
        <w:rPr>
          <w:rFonts w:ascii="Times New Roman" w:hAnsi="Times New Roman" w:cs="Times New Roman"/>
          <w:sz w:val="24"/>
          <w:szCs w:val="24"/>
        </w:rPr>
        <w:t xml:space="preserve">származó korábbi „változónevek” valamint </w:t>
      </w:r>
      <w:r w:rsidR="00A31492" w:rsidRPr="6A7FFABD">
        <w:rPr>
          <w:rFonts w:ascii="Times New Roman" w:hAnsi="Times New Roman" w:cs="Times New Roman"/>
          <w:sz w:val="24"/>
          <w:szCs w:val="24"/>
        </w:rPr>
        <w:t>a létrehozott retrospektív</w:t>
      </w:r>
      <w:r w:rsidR="006B5804" w:rsidRPr="6A7FFABD">
        <w:rPr>
          <w:rFonts w:ascii="Times New Roman" w:hAnsi="Times New Roman" w:cs="Times New Roman"/>
          <w:sz w:val="24"/>
          <w:szCs w:val="24"/>
        </w:rPr>
        <w:t xml:space="preserve"> adatstruktúra közötti megfeleltetéseket az alábbi </w:t>
      </w:r>
      <w:r w:rsidR="00C445FC" w:rsidRPr="6A7FFABD">
        <w:rPr>
          <w:rFonts w:ascii="Times New Roman" w:hAnsi="Times New Roman" w:cs="Times New Roman"/>
          <w:sz w:val="24"/>
          <w:szCs w:val="24"/>
        </w:rPr>
        <w:t>dokumentumban</w:t>
      </w:r>
      <w:r w:rsidR="006B5804" w:rsidRPr="6A7FFABD">
        <w:rPr>
          <w:rFonts w:ascii="Times New Roman" w:hAnsi="Times New Roman" w:cs="Times New Roman"/>
          <w:sz w:val="24"/>
          <w:szCs w:val="24"/>
        </w:rPr>
        <w:t xml:space="preserve"> </w:t>
      </w:r>
      <w:r w:rsidR="001C40B1" w:rsidRPr="6A7FFABD">
        <w:rPr>
          <w:rFonts w:ascii="Times New Roman" w:hAnsi="Times New Roman" w:cs="Times New Roman"/>
          <w:sz w:val="24"/>
          <w:szCs w:val="24"/>
        </w:rPr>
        <w:t>rendszereztük</w:t>
      </w:r>
      <w:r w:rsidR="006B5804" w:rsidRPr="6A7FFABD">
        <w:rPr>
          <w:rFonts w:ascii="Times New Roman" w:hAnsi="Times New Roman" w:cs="Times New Roman"/>
          <w:sz w:val="24"/>
          <w:szCs w:val="24"/>
        </w:rPr>
        <w:t>:</w:t>
      </w:r>
      <w:r w:rsidRPr="6A7FF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D59FF" w14:textId="401DBDC8" w:rsidR="000F39E8" w:rsidRDefault="000F39E8" w:rsidP="000F39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93E5B">
          <w:rPr>
            <w:rStyle w:val="Hiperhivatkozs"/>
            <w:rFonts w:ascii="Times New Roman" w:hAnsi="Times New Roman" w:cs="Times New Roman"/>
            <w:sz w:val="24"/>
            <w:szCs w:val="24"/>
          </w:rPr>
          <w:t>https://ki.oszk.hu/sites/default/files/dokumentumtar/osap1442-konyvtari-statisztika-valtozomegfeleltetes_2015_2023.xlsx</w:t>
        </w:r>
      </w:hyperlink>
    </w:p>
    <w:p w14:paraId="3CC79B34" w14:textId="77777777" w:rsidR="000F39E8" w:rsidRPr="001A5F20" w:rsidRDefault="000F39E8" w:rsidP="6A7FFA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0F39E8" w:rsidRPr="001A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B578" w14:textId="77777777" w:rsidR="005022AD" w:rsidRDefault="005022AD" w:rsidP="006967E0">
      <w:pPr>
        <w:spacing w:after="0" w:line="240" w:lineRule="auto"/>
      </w:pPr>
      <w:r>
        <w:separator/>
      </w:r>
    </w:p>
  </w:endnote>
  <w:endnote w:type="continuationSeparator" w:id="0">
    <w:p w14:paraId="79F59075" w14:textId="77777777" w:rsidR="005022AD" w:rsidRDefault="005022AD" w:rsidP="0069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01273" w14:textId="77777777" w:rsidR="005022AD" w:rsidRDefault="005022AD" w:rsidP="006967E0">
      <w:pPr>
        <w:spacing w:after="0" w:line="240" w:lineRule="auto"/>
      </w:pPr>
      <w:r>
        <w:separator/>
      </w:r>
    </w:p>
  </w:footnote>
  <w:footnote w:type="continuationSeparator" w:id="0">
    <w:p w14:paraId="1232105B" w14:textId="77777777" w:rsidR="005022AD" w:rsidRDefault="005022AD" w:rsidP="006967E0">
      <w:pPr>
        <w:spacing w:after="0" w:line="240" w:lineRule="auto"/>
      </w:pPr>
      <w:r>
        <w:continuationSeparator/>
      </w:r>
    </w:p>
  </w:footnote>
  <w:footnote w:id="1">
    <w:p w14:paraId="5E45E65F" w14:textId="77777777" w:rsidR="001403FC" w:rsidRPr="00FC6312" w:rsidRDefault="001403FC" w:rsidP="00FC6312">
      <w:pPr>
        <w:pStyle w:val="Lbjegyzetszveg"/>
        <w:spacing w:line="360" w:lineRule="auto"/>
        <w:jc w:val="both"/>
        <w:rPr>
          <w:rFonts w:ascii="Times New Roman" w:hAnsi="Times New Roman" w:cs="Times New Roman"/>
        </w:rPr>
      </w:pPr>
      <w:r w:rsidRPr="00FC6312">
        <w:rPr>
          <w:rStyle w:val="Lbjegyzet-hivatkozs"/>
          <w:rFonts w:ascii="Times New Roman" w:hAnsi="Times New Roman" w:cs="Times New Roman"/>
        </w:rPr>
        <w:footnoteRef/>
      </w:r>
      <w:r w:rsidRPr="00FC6312">
        <w:rPr>
          <w:rFonts w:ascii="Times New Roman" w:hAnsi="Times New Roman" w:cs="Times New Roman"/>
        </w:rPr>
        <w:t xml:space="preserve"> Az OSAP 1442 adatgyűjtés keretében az iskolai könyvtárak nem adatszolgáltatók.</w:t>
      </w:r>
    </w:p>
  </w:footnote>
  <w:footnote w:id="2">
    <w:p w14:paraId="168EDD34" w14:textId="7888F543" w:rsidR="00FC6312" w:rsidRDefault="00FC6312" w:rsidP="00FC6312">
      <w:pPr>
        <w:pStyle w:val="Lbjegyzetszveg"/>
        <w:spacing w:line="360" w:lineRule="auto"/>
        <w:rPr>
          <w:rFonts w:ascii="Times New Roman" w:hAnsi="Times New Roman" w:cs="Times New Roman"/>
        </w:rPr>
      </w:pPr>
      <w:r w:rsidRPr="00FC6312">
        <w:rPr>
          <w:rStyle w:val="Lbjegyzet-hivatkozs"/>
          <w:rFonts w:ascii="Times New Roman" w:hAnsi="Times New Roman" w:cs="Times New Roman"/>
        </w:rPr>
        <w:footnoteRef/>
      </w:r>
      <w:r w:rsidRPr="00FC6312">
        <w:rPr>
          <w:rFonts w:ascii="Times New Roman" w:hAnsi="Times New Roman" w:cs="Times New Roman"/>
        </w:rPr>
        <w:t xml:space="preserve"> Az egyes évekhez tartozó adattáblák, a Könyvtári Intézet honlapjáról, az alábbi linkre kattintva szabadon elérhetők: </w:t>
      </w:r>
      <w:hyperlink r:id="rId1" w:history="1">
        <w:r w:rsidR="000F39E8" w:rsidRPr="00993E5B">
          <w:rPr>
            <w:rStyle w:val="Hiperhivatkozs"/>
            <w:rFonts w:ascii="Times New Roman" w:hAnsi="Times New Roman" w:cs="Times New Roman"/>
          </w:rPr>
          <w:t>https://ki.oszk.hu/dokumentumtar/konyvtari-statisztika-harmonizalt-idosoros-adatbazisa</w:t>
        </w:r>
      </w:hyperlink>
    </w:p>
    <w:p w14:paraId="4BED971E" w14:textId="77777777" w:rsidR="000F39E8" w:rsidRPr="00FC6312" w:rsidRDefault="000F39E8" w:rsidP="00FC6312">
      <w:pPr>
        <w:pStyle w:val="Lbjegyzetszveg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F7377"/>
    <w:multiLevelType w:val="hybridMultilevel"/>
    <w:tmpl w:val="F6AE0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61DB7"/>
    <w:multiLevelType w:val="hybridMultilevel"/>
    <w:tmpl w:val="4386D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123F4"/>
    <w:multiLevelType w:val="hybridMultilevel"/>
    <w:tmpl w:val="1C765CDE"/>
    <w:lvl w:ilvl="0" w:tplc="040E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32"/>
    <w:rsid w:val="0002174D"/>
    <w:rsid w:val="00050F1E"/>
    <w:rsid w:val="00051026"/>
    <w:rsid w:val="0005253C"/>
    <w:rsid w:val="000544F8"/>
    <w:rsid w:val="00061D0B"/>
    <w:rsid w:val="00075D90"/>
    <w:rsid w:val="000824B8"/>
    <w:rsid w:val="000976D3"/>
    <w:rsid w:val="000B6817"/>
    <w:rsid w:val="000D43D5"/>
    <w:rsid w:val="000E0DB5"/>
    <w:rsid w:val="000F39E8"/>
    <w:rsid w:val="000F67B1"/>
    <w:rsid w:val="001009D9"/>
    <w:rsid w:val="001114BF"/>
    <w:rsid w:val="001144F1"/>
    <w:rsid w:val="00114EC7"/>
    <w:rsid w:val="00127C04"/>
    <w:rsid w:val="001403FC"/>
    <w:rsid w:val="00140BA8"/>
    <w:rsid w:val="001606D3"/>
    <w:rsid w:val="001674F7"/>
    <w:rsid w:val="00171277"/>
    <w:rsid w:val="001766A2"/>
    <w:rsid w:val="001830B8"/>
    <w:rsid w:val="001A20D9"/>
    <w:rsid w:val="001A5221"/>
    <w:rsid w:val="001A5F20"/>
    <w:rsid w:val="001B512C"/>
    <w:rsid w:val="001C350B"/>
    <w:rsid w:val="001C40B1"/>
    <w:rsid w:val="001D47B7"/>
    <w:rsid w:val="002076C4"/>
    <w:rsid w:val="0020781B"/>
    <w:rsid w:val="00210CA0"/>
    <w:rsid w:val="002171FB"/>
    <w:rsid w:val="00230543"/>
    <w:rsid w:val="00241260"/>
    <w:rsid w:val="0025388F"/>
    <w:rsid w:val="00276E3B"/>
    <w:rsid w:val="00283E65"/>
    <w:rsid w:val="00284E0B"/>
    <w:rsid w:val="002B5312"/>
    <w:rsid w:val="002D2951"/>
    <w:rsid w:val="002D353E"/>
    <w:rsid w:val="003237DC"/>
    <w:rsid w:val="003434A7"/>
    <w:rsid w:val="003722D2"/>
    <w:rsid w:val="00383CE1"/>
    <w:rsid w:val="00384052"/>
    <w:rsid w:val="003B539B"/>
    <w:rsid w:val="003C2F2F"/>
    <w:rsid w:val="003C783E"/>
    <w:rsid w:val="003D3009"/>
    <w:rsid w:val="003D794E"/>
    <w:rsid w:val="003F01D8"/>
    <w:rsid w:val="003F19A0"/>
    <w:rsid w:val="00413B3C"/>
    <w:rsid w:val="00414A0C"/>
    <w:rsid w:val="00414CB8"/>
    <w:rsid w:val="004378B5"/>
    <w:rsid w:val="00446DDE"/>
    <w:rsid w:val="00453DD7"/>
    <w:rsid w:val="004551CB"/>
    <w:rsid w:val="004715CA"/>
    <w:rsid w:val="00472B38"/>
    <w:rsid w:val="004769C4"/>
    <w:rsid w:val="00482B8E"/>
    <w:rsid w:val="00487E70"/>
    <w:rsid w:val="004B495C"/>
    <w:rsid w:val="004B4B14"/>
    <w:rsid w:val="004C7B6C"/>
    <w:rsid w:val="004E0D77"/>
    <w:rsid w:val="004E0FB6"/>
    <w:rsid w:val="004E511B"/>
    <w:rsid w:val="004F1A42"/>
    <w:rsid w:val="004F7613"/>
    <w:rsid w:val="005022AD"/>
    <w:rsid w:val="00504062"/>
    <w:rsid w:val="00510BA9"/>
    <w:rsid w:val="00512F7E"/>
    <w:rsid w:val="005200B2"/>
    <w:rsid w:val="0052759D"/>
    <w:rsid w:val="00527C14"/>
    <w:rsid w:val="00531A2B"/>
    <w:rsid w:val="00540916"/>
    <w:rsid w:val="00541651"/>
    <w:rsid w:val="005423DF"/>
    <w:rsid w:val="00545920"/>
    <w:rsid w:val="00567BC5"/>
    <w:rsid w:val="00584597"/>
    <w:rsid w:val="00587598"/>
    <w:rsid w:val="005A3F26"/>
    <w:rsid w:val="005A4195"/>
    <w:rsid w:val="005D088C"/>
    <w:rsid w:val="005D65B4"/>
    <w:rsid w:val="006010B4"/>
    <w:rsid w:val="00601608"/>
    <w:rsid w:val="00620E9F"/>
    <w:rsid w:val="00631765"/>
    <w:rsid w:val="00642D21"/>
    <w:rsid w:val="006447F3"/>
    <w:rsid w:val="0066741B"/>
    <w:rsid w:val="0067196E"/>
    <w:rsid w:val="00683D27"/>
    <w:rsid w:val="00684392"/>
    <w:rsid w:val="006967E0"/>
    <w:rsid w:val="006B5804"/>
    <w:rsid w:val="006B7B22"/>
    <w:rsid w:val="006B7F51"/>
    <w:rsid w:val="006C6B8B"/>
    <w:rsid w:val="006F3506"/>
    <w:rsid w:val="00700641"/>
    <w:rsid w:val="007020BF"/>
    <w:rsid w:val="00730394"/>
    <w:rsid w:val="007423E0"/>
    <w:rsid w:val="00747BA2"/>
    <w:rsid w:val="0076071F"/>
    <w:rsid w:val="00762431"/>
    <w:rsid w:val="00771149"/>
    <w:rsid w:val="007808F0"/>
    <w:rsid w:val="007909A3"/>
    <w:rsid w:val="007A3B6D"/>
    <w:rsid w:val="007A41BE"/>
    <w:rsid w:val="007A7A5D"/>
    <w:rsid w:val="007B1EB3"/>
    <w:rsid w:val="007B348F"/>
    <w:rsid w:val="007B6A48"/>
    <w:rsid w:val="007B7296"/>
    <w:rsid w:val="007D37A6"/>
    <w:rsid w:val="007E3AE7"/>
    <w:rsid w:val="008252BB"/>
    <w:rsid w:val="00830F77"/>
    <w:rsid w:val="00844806"/>
    <w:rsid w:val="0085050F"/>
    <w:rsid w:val="00871361"/>
    <w:rsid w:val="008976CA"/>
    <w:rsid w:val="008A05D3"/>
    <w:rsid w:val="008B5324"/>
    <w:rsid w:val="008C1356"/>
    <w:rsid w:val="008C6E9A"/>
    <w:rsid w:val="008D1CA6"/>
    <w:rsid w:val="008D306C"/>
    <w:rsid w:val="008E0496"/>
    <w:rsid w:val="0091755F"/>
    <w:rsid w:val="00922BC7"/>
    <w:rsid w:val="00933F1B"/>
    <w:rsid w:val="00941761"/>
    <w:rsid w:val="00962F35"/>
    <w:rsid w:val="009843FA"/>
    <w:rsid w:val="009859C5"/>
    <w:rsid w:val="00987E0D"/>
    <w:rsid w:val="009C1D59"/>
    <w:rsid w:val="009C71C7"/>
    <w:rsid w:val="009F1699"/>
    <w:rsid w:val="009F2CC2"/>
    <w:rsid w:val="009F5807"/>
    <w:rsid w:val="00A27368"/>
    <w:rsid w:val="00A31492"/>
    <w:rsid w:val="00A61CAF"/>
    <w:rsid w:val="00A73C35"/>
    <w:rsid w:val="00A76EAE"/>
    <w:rsid w:val="00A86826"/>
    <w:rsid w:val="00AB7547"/>
    <w:rsid w:val="00AD7406"/>
    <w:rsid w:val="00AE09C1"/>
    <w:rsid w:val="00B008EB"/>
    <w:rsid w:val="00B06532"/>
    <w:rsid w:val="00B159F9"/>
    <w:rsid w:val="00B16BAB"/>
    <w:rsid w:val="00B32643"/>
    <w:rsid w:val="00B52FDB"/>
    <w:rsid w:val="00B61E62"/>
    <w:rsid w:val="00B61FF0"/>
    <w:rsid w:val="00B879B8"/>
    <w:rsid w:val="00B926AE"/>
    <w:rsid w:val="00B95EA2"/>
    <w:rsid w:val="00B971E1"/>
    <w:rsid w:val="00BA4A67"/>
    <w:rsid w:val="00BB2F45"/>
    <w:rsid w:val="00BD526C"/>
    <w:rsid w:val="00BE5233"/>
    <w:rsid w:val="00BE7DAA"/>
    <w:rsid w:val="00BF7D23"/>
    <w:rsid w:val="00C002DD"/>
    <w:rsid w:val="00C02598"/>
    <w:rsid w:val="00C121AB"/>
    <w:rsid w:val="00C14876"/>
    <w:rsid w:val="00C41E32"/>
    <w:rsid w:val="00C42B78"/>
    <w:rsid w:val="00C445FC"/>
    <w:rsid w:val="00C50AAE"/>
    <w:rsid w:val="00C90770"/>
    <w:rsid w:val="00C97867"/>
    <w:rsid w:val="00CA6D6E"/>
    <w:rsid w:val="00CF06FA"/>
    <w:rsid w:val="00CF4ACE"/>
    <w:rsid w:val="00D050D1"/>
    <w:rsid w:val="00D12F32"/>
    <w:rsid w:val="00D333FC"/>
    <w:rsid w:val="00D4243A"/>
    <w:rsid w:val="00D51148"/>
    <w:rsid w:val="00D679F1"/>
    <w:rsid w:val="00D82C4F"/>
    <w:rsid w:val="00D92CD7"/>
    <w:rsid w:val="00DA2959"/>
    <w:rsid w:val="00DA32BC"/>
    <w:rsid w:val="00DB7DA0"/>
    <w:rsid w:val="00DC009A"/>
    <w:rsid w:val="00DC0E31"/>
    <w:rsid w:val="00DC2ACD"/>
    <w:rsid w:val="00DC78C0"/>
    <w:rsid w:val="00E23672"/>
    <w:rsid w:val="00E3139E"/>
    <w:rsid w:val="00E34F3A"/>
    <w:rsid w:val="00E3587F"/>
    <w:rsid w:val="00E40449"/>
    <w:rsid w:val="00E476C8"/>
    <w:rsid w:val="00E667BB"/>
    <w:rsid w:val="00E8314C"/>
    <w:rsid w:val="00E91812"/>
    <w:rsid w:val="00EA16C8"/>
    <w:rsid w:val="00EA6386"/>
    <w:rsid w:val="00EB686D"/>
    <w:rsid w:val="00ED0600"/>
    <w:rsid w:val="00ED15C5"/>
    <w:rsid w:val="00ED401C"/>
    <w:rsid w:val="00F1003E"/>
    <w:rsid w:val="00F13136"/>
    <w:rsid w:val="00F5718C"/>
    <w:rsid w:val="00F64182"/>
    <w:rsid w:val="00F85F84"/>
    <w:rsid w:val="00F86A52"/>
    <w:rsid w:val="00FA5F98"/>
    <w:rsid w:val="00FB1613"/>
    <w:rsid w:val="00FB42DF"/>
    <w:rsid w:val="00FC6312"/>
    <w:rsid w:val="00FE3182"/>
    <w:rsid w:val="00FF1D66"/>
    <w:rsid w:val="0859257D"/>
    <w:rsid w:val="0FCA8F62"/>
    <w:rsid w:val="157F5886"/>
    <w:rsid w:val="16966C5C"/>
    <w:rsid w:val="189063A4"/>
    <w:rsid w:val="2B3951F2"/>
    <w:rsid w:val="3FA7B741"/>
    <w:rsid w:val="6A7FFABD"/>
    <w:rsid w:val="6FDC4D55"/>
    <w:rsid w:val="715FFE9A"/>
    <w:rsid w:val="727AF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6887"/>
  <w15:chartTrackingRefBased/>
  <w15:docId w15:val="{74F91561-7A5F-4459-9F9D-DAE3902B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E5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6A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19A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D47B7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E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4E5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7B6A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967E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967E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967E0"/>
    <w:rPr>
      <w:vertAlign w:val="superscript"/>
    </w:rPr>
  </w:style>
  <w:style w:type="table" w:styleId="Rcsostblzat">
    <w:name w:val="Table Grid"/>
    <w:basedOn w:val="Normltblzat"/>
    <w:uiPriority w:val="39"/>
    <w:rsid w:val="0064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0F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.oszk.hu/sites/default/files/dokumentumtar/osap1442-konyvtari-statisztika-valtozomegfeleltetes_2015_2023.xls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.oszk.hu/dokumentumtar/konyvtari-statisztika-harmonizalt-idosoros-adatbazis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6B6BE734B94346B2FD71DCB840D288" ma:contentTypeVersion="15" ma:contentTypeDescription="Új dokumentum létrehozása." ma:contentTypeScope="" ma:versionID="ad9f2323cfceb8e27e374b1ef39645b1">
  <xsd:schema xmlns:xsd="http://www.w3.org/2001/XMLSchema" xmlns:xs="http://www.w3.org/2001/XMLSchema" xmlns:p="http://schemas.microsoft.com/office/2006/metadata/properties" xmlns:ns3="f25517ae-e67b-467f-ac34-3e99c734a1e2" xmlns:ns4="a92d311d-7795-4c89-abe0-163b6558a861" targetNamespace="http://schemas.microsoft.com/office/2006/metadata/properties" ma:root="true" ma:fieldsID="c492d19174b83e0a66467f60efbfb6ca" ns3:_="" ns4:_="">
    <xsd:import namespace="f25517ae-e67b-467f-ac34-3e99c734a1e2"/>
    <xsd:import namespace="a92d311d-7795-4c89-abe0-163b6558a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517ae-e67b-467f-ac34-3e99c734a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d311d-7795-4c89-abe0-163b6558a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5517ae-e67b-467f-ac34-3e99c734a1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2E54-3898-4BCC-A31D-6C88BC9C0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517ae-e67b-467f-ac34-3e99c734a1e2"/>
    <ds:schemaRef ds:uri="a92d311d-7795-4c89-abe0-163b6558a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249B-6052-4063-AEB0-F17F22991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8CA01-C123-42D5-8B09-AEC0C6E907A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25517ae-e67b-467f-ac34-3e99c734a1e2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a92d311d-7795-4c89-abe0-163b6558a86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AED27E-5BE0-4C80-A984-39654A74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Széchenyi Könyvtár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Vastagh Zoltán</dc:creator>
  <cp:keywords/>
  <dc:description/>
  <cp:lastModifiedBy>Erdélyi Károly</cp:lastModifiedBy>
  <cp:revision>2</cp:revision>
  <dcterms:created xsi:type="dcterms:W3CDTF">2025-09-11T09:51:00Z</dcterms:created>
  <dcterms:modified xsi:type="dcterms:W3CDTF">2025-09-11T09:51:00Z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0x0101009E6B6BE734B94346B2FD71DCB840D288</vt:lpwstr>
  </property>
</Properties>
</file>